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a29e9bc70b24d7904d75b3c8e2ed2e5a81ab9b"/>
    <w:p>
      <w:pPr>
        <w:pStyle w:val="Heading3"/>
      </w:pPr>
      <w:r>
        <w:t xml:space="preserve">ГУ - Главное управление ПФР № 4 по г. Москве и Московской области информирует: Новая выплата для семей с невысокими доходами перечислена 1,6 млн детей от 8 до 17 лет</w:t>
      </w:r>
    </w:p>
    <w:p>
      <w:pPr>
        <w:pStyle w:val="FirstParagraph"/>
      </w:pPr>
      <w:r>
        <w:t xml:space="preserve">23.05.2022</w:t>
      </w:r>
    </w:p>
    <w:p>
      <w:pPr>
        <w:pStyle w:val="BodyText"/>
      </w:pPr>
      <w:r>
        <w:t xml:space="preserve">Новую выплату для семей с невысокими доходами, которая была введена по поручению президента, получили родители 1,6 млн детей в возрасте от 8 до 17 лет. Семьям уже выплачено 24,3 млрд рублей.</w:t>
      </w:r>
      <w:r>
        <w:t xml:space="preserve"> </w:t>
      </w:r>
      <w:r>
        <w:t xml:space="preserve">По правилам, заявления на выплату рассматриваются в течение 10 рабочих дней. В случае отказа семья получит соответствующее уведомление в течение одного рабочего дня после вынесения решения. При одобрении выплаты деньги поступят на счет в течение 5 рабочих дней.</w:t>
      </w:r>
      <w:r>
        <w:t xml:space="preserve"> </w:t>
      </w:r>
      <w:r>
        <w:t xml:space="preserve">В Москве выплату назначают органы соцзащиты, поэтому заявление подается на портале Mos.ru.</w:t>
      </w:r>
      <w:r>
        <w:t xml:space="preserve"> </w:t>
      </w:r>
      <w:r>
        <w:t xml:space="preserve">Напомним, выплата назначается по итогам комплексной оценки нуждаемости семьям в случае, если среднедушевой доход семьи меньше прожиточного минимума на человека в регионе, имущество семьи не превышает установленные требования, а у родителей есть подтвержденный доход или уважительная причина его отсутствия.</w:t>
      </w:r>
      <w:r>
        <w:t xml:space="preserve"> </w:t>
      </w:r>
      <w:r>
        <w:t xml:space="preserve">От уровня дохода родителей зависит и размер новой выплаты, он может составлять 50%, 75% или 100% прожиточного минимума ребенка в регионе.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http://zuzino.mos.ru/presscenter/article/detail/10821111.html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108211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108211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2025-03-02T04:03:27Z</dcterms:created>
  <dcterms:modified xsi:type="dcterms:W3CDTF">2025-03-02T04:03:27Z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