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a3fa9b7c26d47923c7dae1fa830bde2ff4034"/>
    <w:p>
      <w:pPr>
        <w:pStyle w:val="Heading3"/>
      </w:pPr>
      <w:r>
        <w:t xml:space="preserve">Организовано исследование «Образ жизни подростков в сети»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На основании пункта 8 перечня федеральных мероприятий, направленных на обеспечение информационной безопасности детей, производство информационной продукции для детей и оборот информационной продукции, на 2022 - 2027 годы, утвержденного приказом Минцифры России от 22.03.2022 № 226, организовано исследование «Образ жизни подростков в сети» (далее — исследование).</w:t>
      </w:r>
    </w:p>
    <w:p>
      <w:pPr>
        <w:pStyle w:val="BodyText"/>
      </w:pPr>
      <w:r>
        <w:t xml:space="preserve">Организаторами исследования являются Министерство цифрового развития,</w:t>
      </w:r>
    </w:p>
    <w:p>
      <w:pPr>
        <w:pStyle w:val="BodyText"/>
      </w:pPr>
      <w:r>
        <w:t xml:space="preserve">связи и массовых коммуникаций Российской Федерации, Министерство просвещения Российской Федерации и AHO «Агентство поддержки государственных инициатив».</w:t>
      </w:r>
    </w:p>
    <w:p>
      <w:pPr>
        <w:pStyle w:val="BodyText"/>
      </w:pPr>
      <w:r>
        <w:t xml:space="preserve">Цель исследования - оценка эффективности государственной политики по защите детей от негативной информации.</w:t>
      </w:r>
    </w:p>
    <w:p>
      <w:pPr>
        <w:pStyle w:val="BodyText"/>
      </w:pPr>
      <w:r>
        <w:t xml:space="preserve">Основной аудиторией исследования в 2023 году являются педагогические, руководящие и иные работники образовательных организаций, реализующих образовательные программы общего, среднего профессионального и дополнительного образования.</w:t>
      </w:r>
    </w:p>
    <w:p>
      <w:pPr>
        <w:pStyle w:val="BodyText"/>
      </w:pPr>
      <w:r>
        <w:t xml:space="preserve">Актуальность исследования обусловлена необходимостью оценки мер, предпринимаемых в субъектах Российской Федерации, по обеспечению информационной безопасности детей в условиях перехода к организации обучения и воспитания в соответствии с обновленными ФГОС и ФООП в целях организации просвещения всех участников образовательных отношений по вопросам информационной безопасности детей.</w:t>
      </w:r>
    </w:p>
    <w:p>
      <w:pPr>
        <w:pStyle w:val="BodyText"/>
      </w:pPr>
      <w:r>
        <w:t xml:space="preserve">В рамках исследования будут рассмотрены различные аспекты обеспечения информационной безопасности детей, в том числе: степень воздействия цифрового пространства на психологическое состояние детей, аспекты обеспечения информационной безопасности образовательных организаций, организация образовательной и просветительской деятельности в области информационной безопасности.</w:t>
      </w:r>
    </w:p>
    <w:p>
      <w:pPr>
        <w:pStyle w:val="BodyText"/>
      </w:pPr>
      <w:r>
        <w:t xml:space="preserve">Исследование включает в себя сбор и анализ данных, полученных от респондентов посредством заполнения анкеты, размещенной на портале «Единыйурок.рф» в разделе «Проекты». По итогам участия в исследовании участникам предоставляются соответствующие документы в электронной форме бесплатно, которые могут быть использованы в качестве подтверждения участия педагогических работников в инновационной деятельности l.</w:t>
      </w:r>
    </w:p>
    <w:p>
      <w:pPr>
        <w:pStyle w:val="BodyText"/>
      </w:pPr>
      <w:r>
        <w:t xml:space="preserve">Результаты исследования предполагается использовать для корректировки и совершенствования государственной политики в области информационной безопасности на федеральном и региональном уровнях.</w:t>
      </w:r>
    </w:p>
    <w:p>
      <w:pPr>
        <w:pStyle w:val="BodyText"/>
      </w:pPr>
      <w:r>
        <w:t xml:space="preserve">На основании полномочий, предусмотренных законодательством Российской Федерации 2, прошу рассмотреть возможность направить настоящее письмо в адрес руководителей образовательных организаций для принятия участия в исследовании педагогическими и руководящими работниками образовательных организаций, а также опубликовать данное письмо на соответствующих официальных сайтах и официальных сообществах в социальных сетях.</w:t>
      </w:r>
    </w:p>
    <w:p>
      <w:pPr>
        <w:pStyle w:val="BodyText"/>
      </w:pPr>
      <w:r>
        <w:t xml:space="preserve">Поддержка участников осуществляется по электронной почте: mail@eurok.org.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http://zuzino.mos.ru/presscenter/article/detail/12039662.html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039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039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2025-07-28T00:54:16Z</dcterms:created>
  <dcterms:modified xsi:type="dcterms:W3CDTF">2025-07-28T00:54:16Z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