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3f52b2e574875ff367fe8d13d17de0374feac"/>
    <w:p>
      <w:pPr>
        <w:pStyle w:val="Heading3"/>
      </w:pPr>
      <w:r>
        <w:t xml:space="preserve">Прекращается прием уведомлений с 01.01.2024 на основании распоряжений на перевод денежных средств в уплату платежей в бюджетную систему РФ со статусом 02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Начиная с 01.01.2024 в соответствии с пунктом 12 статьи 4 Федерального закона от 14.07.2022 №263-ФЗ прекращается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«02».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Исключение составляют платежные распоряжения с датой платежного документа до 31.12.2023 включительно.</w:t>
      </w:r>
    </w:p>
    <w:p>
      <w:pPr>
        <w:pStyle w:val="BodyText"/>
      </w:pPr>
      <w:r>
        <w:t xml:space="preserve">Платежи, оплаченные в 2024 году, будут учитываться, как и прежде в составе единого налогового платежа налогоплательщика, а уведомления представляются только по форме, утверждённой приказом ФНС России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http://zuzino.mos.ru/presscenter/article/detail/12043230.html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043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043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2024-12-19T23:47:51Z</dcterms:created>
  <dcterms:modified xsi:type="dcterms:W3CDTF">2024-12-19T23:47:51Z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