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2cabcb09a0bd44a3d0abe5910db8e8936a6c2c"/>
    <w:p>
      <w:pPr>
        <w:pStyle w:val="Heading3"/>
      </w:pPr>
      <w:r>
        <w:t xml:space="preserve">Прокурор Юго-Западного административного округа г. Москвы разъясняет - февраль 2025</w:t>
      </w:r>
    </w:p>
    <w:p>
      <w:pPr>
        <w:pStyle w:val="FirstParagraph"/>
      </w:pPr>
      <w:r>
        <w:t xml:space="preserve">18.02.2025</w:t>
      </w:r>
    </w:p>
    <w:p>
      <w:pPr>
        <w:pStyle w:val="BodyText"/>
      </w:pPr>
      <w:r>
        <w:rPr>
          <w:bCs/>
          <w:b/>
        </w:rPr>
        <w:t xml:space="preserve">Прокурор Юго-Западного административного округа г. Москвы разъясняет об осуществлении надзора за исполнением требований налогового законодательства</w:t>
      </w:r>
    </w:p>
    <w:p>
      <w:pPr>
        <w:pStyle w:val="BodyText"/>
      </w:pPr>
      <w:r>
        <w:t xml:space="preserve">Органами прокуратуры на постоянной основе осуществляется надзор за исполнением требований налогового законодательства, в том числе, за достоверностью сведений, вносимых в единый государственный реестр юридических лиц (далее - ЕГРЮЛ).</w:t>
      </w:r>
    </w:p>
    <w:p>
      <w:pPr>
        <w:pStyle w:val="BodyText"/>
      </w:pPr>
      <w:r>
        <w:t xml:space="preserve">Понятие «фирма-однодневка» не закреплено в действующем законодательстве, вместе с тем, под таковой понимается юридическое лицо, создаваемое без цели ведения предпринимательской деятельности.</w:t>
      </w:r>
    </w:p>
    <w:p>
      <w:pPr>
        <w:pStyle w:val="BodyText"/>
      </w:pPr>
      <w:r>
        <w:t xml:space="preserve">Фирмы-однодневки создаются для хищения и обналичивания денежных средств, уклонения от уплаты налогов, легализации преступных доходов и совершения других преступлений, угрожающих экономической безопасности и обороне государства.</w:t>
      </w:r>
    </w:p>
    <w:p>
      <w:pPr>
        <w:pStyle w:val="BodyText"/>
      </w:pPr>
      <w:r>
        <w:t xml:space="preserve">Для регистрации фирмы-однодневки злоумышленники используют документы (в первую очередь — паспорт) граждан, не собирающихся реально осуществлять предпринимательскую деятельность, предлагая за их предоставление выплатить гражданину определенную сумму, заверяя, что для него не наступит никаких негативных последствий.</w:t>
      </w:r>
    </w:p>
    <w:p>
      <w:pPr>
        <w:pStyle w:val="BodyText"/>
      </w:pPr>
      <w:r>
        <w:t xml:space="preserve">В качестве «номинальных» учредителей или руководителей, регистрирующих на свое имя организации, чаще всего привлекаются лица, неосведомленные о преступном характере деятельности: студенты, пенсионеры, малоимущие граждане, безработные. Убежденные в законности своих действий, граждане предоставляют свои персональные данные и подписывают документы для государственной регистрации фирм -«однодневок», не имея представления, С какой целью совершают указанные действия. Спустя некоторое время, граждане узнают, что являются руководителями и учредителями фирм - многомиллионных должников, к которым предъявляют требования кредиторы и контролирующие Органы.</w:t>
      </w:r>
    </w:p>
    <w:p>
      <w:pPr>
        <w:pStyle w:val="BodyText"/>
      </w:pPr>
      <w:r>
        <w:t xml:space="preserve">Злоумышленник вместе с согласившимся с таким предложением гражданином, посещают нотариуса и налоговую инспекцию, где подписывают документы, необходимые для регистрации гражданина в качестве учредителя или руководителя юридического лица.</w:t>
      </w:r>
    </w:p>
    <w:p>
      <w:pPr>
        <w:pStyle w:val="BodyText"/>
      </w:pPr>
      <w:r>
        <w:t xml:space="preserve">Однако указанные действия не только незаконны, но и уголовно наказуемы.</w:t>
      </w:r>
    </w:p>
    <w:p>
      <w:pPr>
        <w:pStyle w:val="BodyText"/>
      </w:pPr>
      <w:r>
        <w:t xml:space="preserve">Предоставление документа, удостоверяющего личность, или выдача доверенности, если эти действия совершены для внесения в единый государственный реестр юридических лиц (ЕГРЮЛ) сведений о подставном лице, образуют состав преступления, предусмотренного ч. 1 ст. 173.2 Уголовного кодекса Российской Федерации. Максимальное наказание за совершение данного преступления — назначение исправительных работ на срок до двух лет. Возраст наступления уголовной ответственности за совершение такого преступления - 16 лет.</w:t>
      </w:r>
    </w:p>
    <w:p>
      <w:pPr>
        <w:pStyle w:val="BodyText"/>
      </w:pPr>
      <w:r>
        <w:t xml:space="preserve">Сами злоумышленники, то есть, лица, предлагающие гражданину стать руководителем фирмы-однодневки, привлекаются к уголовной ответственности по ч.2 ст. 173.2 УК РФ - Приобретение документа, удостоверяющего личность, или использование персональных данных, полученных незаконным путем, если эти деяния совершены для внесения в единый государственный реестр юридических лиц сведений о подставном лице и по ст. 173.1 УК РФ - Незаконное образование (создание, реорганизация) юридического лица.</w:t>
      </w:r>
    </w:p>
    <w:p>
      <w:pPr>
        <w:pStyle w:val="BodyText"/>
      </w:pPr>
      <w:r>
        <w:t xml:space="preserve">Санкции статей 173.1, 173.2 УК РФ предусматривают наказание в виде штрафа до 500 тысяч рублей или лишения свободы до 5 лет.</w:t>
      </w:r>
    </w:p>
    <w:p>
      <w:pPr>
        <w:pStyle w:val="BodyText"/>
      </w:pPr>
      <w:r>
        <w:t xml:space="preserve">Вне зависимости от предложенной суммы вознаграждения, не предоставляйте третьим лицам свой паспорт и другие, удостоверяющие личность, документы, не оформляйте на них доверенности, если не имеете четкого понимания цели таких действий и сомневаетесь в намерениях таких лиц. Также, не соглашайтесь на заполнение форм и подписание каких-либо документов по просьбе малознакомых граждан в налоговых органах, у нотариуса или в банковских, кредитных учреждениях.</w:t>
      </w:r>
    </w:p>
    <w:p>
      <w:pPr>
        <w:pStyle w:val="BodyText"/>
      </w:pPr>
      <w:r>
        <w:rPr>
          <w:bCs/>
          <w:b/>
        </w:rPr>
        <w:t xml:space="preserve">Прокурор Юго-Западного административного округа г. Москвы разъясняет об основаниях для замены водительского удостоверения.</w:t>
      </w:r>
    </w:p>
    <w:p>
      <w:pPr>
        <w:pStyle w:val="BodyText"/>
      </w:pPr>
      <w:r>
        <w:t xml:space="preserve">Основания для замены водительского удостоверения. Общий срок действия водительского удостоверения - 10 лет.</w:t>
      </w:r>
    </w:p>
    <w:p>
      <w:pPr>
        <w:pStyle w:val="BodyText"/>
      </w:pPr>
      <w:r>
        <w:t xml:space="preserve">Правительством Российской Федерации продлено на 3 года действие у российских национальных водительских удостоверений, сроки по которым истекают (истекли) в период с 1 января 2022 года по 31 декабря 2025 года (Постановление Правительства Российской Федерации от 23.12.2023 № 2269). Продление срока действия не требует внесения дополнительных изменений в документы. При этом водительские удостоверения, срок действия которых истек в 2022 году, необходимо заменить в 2025 году. Лицо, срок действия водительского удостоверения которого истек, является лицом, не имеющим права управления транспортным средством. За управление автомобилем лицом, не имеющим на это право, предусмотрена административная ответственность в виде штрафа в размере от 5 тыс. руб. до 15 тыс. руб. (ч. 1 ст. 12.7 КоАП РФ).</w:t>
      </w:r>
    </w:p>
    <w:p>
      <w:pPr>
        <w:pStyle w:val="BodyText"/>
      </w:pPr>
      <w:r>
        <w:rPr>
          <w:bCs/>
          <w:b/>
        </w:rPr>
        <w:t xml:space="preserve">Прокурор Юго-Западного административного округа г. Москвы разъясняет об изменении в законодательства в части использования средств материнского капитала</w:t>
      </w:r>
    </w:p>
    <w:p>
      <w:pPr>
        <w:pStyle w:val="BodyText"/>
      </w:pPr>
      <w:r>
        <w:t xml:space="preserve">Изменения в законодательства в части использования средств материнского капитала.</w:t>
      </w:r>
    </w:p>
    <w:p>
      <w:pPr>
        <w:pStyle w:val="BodyText"/>
      </w:pPr>
      <w:r>
        <w:t xml:space="preserve">Федеральным законом от 26.12.2024 № 495-ФЗ внесены изменения в Федеральный закон от 29.12.2006 № 256-ФЗ «О дополнительных мерах государственной поддержки семей, имеющих детей».</w:t>
      </w:r>
    </w:p>
    <w:p>
      <w:pPr>
        <w:pStyle w:val="BodyText"/>
      </w:pPr>
      <w:r>
        <w:t xml:space="preserve">С 01.01.2025 для приобретения жилого помещения за счет средств материнского капитала потребуется заключение о соответствии жилого помещения, являющегося жилым домом (частью жилого дома), в том числе домом блокированной застройки, требованиям, предъявляемым к жилому помещению, и его пригодности для проживания.</w:t>
      </w:r>
    </w:p>
    <w:p>
      <w:pPr>
        <w:pStyle w:val="BodyText"/>
      </w:pPr>
      <w:r>
        <w:t xml:space="preserve">Заключение оформляется в порядке, установленном Правительством Российской Федерации, и действует в течение 1 года со дня его оформления.</w:t>
      </w:r>
    </w:p>
    <w:p>
      <w:pPr>
        <w:pStyle w:val="BodyText"/>
      </w:pPr>
      <w:r>
        <w:t xml:space="preserve">Данные положения не распространяются на лиц, подавших заявления до 01.01.2025.</w:t>
      </w:r>
    </w:p>
    <w:bookmarkEnd w:id="20"/>
    <w:bookmarkStart w:id="23" w:name="Xbc465c96f4dfed7ac6b0fa5777dfcecc0056d85"/>
    <w:p>
      <w:pPr>
        <w:pStyle w:val="Heading1"/>
      </w:pPr>
      <w:r>
        <w:t xml:space="preserve">Прокурор Юго-Западного административного округа г. Москвы разъясняет о договорах дарения недвижимости.</w:t>
      </w:r>
    </w:p>
    <w:p>
      <w:pPr>
        <w:pStyle w:val="FirstParagraph"/>
      </w:pPr>
      <w:r>
        <w:t xml:space="preserve">Договор дарения недвижимости.</w:t>
      </w:r>
    </w:p>
    <w:p>
      <w:pPr>
        <w:pStyle w:val="BodyText"/>
      </w:pPr>
      <w:r>
        <w:t xml:space="preserve">По договору дарения недвижимого имущества одна сторона безвозмездно передает или обязуется передать другой стороне в собственность недвижимое имущество.</w:t>
      </w:r>
    </w:p>
    <w:p>
      <w:pPr>
        <w:pStyle w:val="BodyText"/>
      </w:pPr>
      <w:r>
        <w:t xml:space="preserve">В целях защиты участников сделки и исключения случаев дарения в состоянии заблуждения в статью 574 Гражданского кодекса Российской Федерации внесены изменения (Федеральный закон от 13.12.2024 № 459-Ф З).</w:t>
      </w:r>
    </w:p>
    <w:p>
      <w:pPr>
        <w:pStyle w:val="BodyText"/>
      </w:pPr>
      <w:r>
        <w:t xml:space="preserve">С 13.01.2025 договор дарения недвижимого имущества, заключенный между гражданами, необходимо заверить у нотариуса.</w:t>
      </w:r>
    </w:p>
    <w:p>
      <w:pPr>
        <w:pStyle w:val="BodyText"/>
      </w:pPr>
      <w:r>
        <w:t xml:space="preserve">Право собственности на недвижимое имущество, как и прежде, подлежит государственной регистрации.</w:t>
      </w:r>
    </w:p>
    <w:p>
      <w:pPr>
        <w:pStyle w:val="BodyText"/>
      </w:pPr>
      <w:r>
        <w:t xml:space="preserve">Таким образом, после нотариального удостоверения договора дарения недвижимого имущества, необходимо также зарегистрировать право собственности.</w:t>
      </w:r>
    </w:p>
    <w:p>
      <w:pPr>
        <w:pStyle w:val="BodyText"/>
      </w:pPr>
      <w:r>
        <w:rPr>
          <w:bCs/>
          <w:b/>
        </w:rPr>
        <w:t xml:space="preserve">Прокурор Юго-Западного административного округа г. Москвы разъясняет об ответственность за продажу сигарет несовершеннолетним.</w:t>
      </w:r>
    </w:p>
    <w:p>
      <w:pPr>
        <w:pStyle w:val="BodyText"/>
      </w:pPr>
      <w:r>
        <w:t xml:space="preserve">Ответственность за продажу сигарет несовершеннолетним.</w:t>
      </w:r>
    </w:p>
    <w:p>
      <w:pPr>
        <w:pStyle w:val="BodyText"/>
      </w:pPr>
      <w:r>
        <w:t xml:space="preserve">Продажа несовершеннолетнему табачной продукции, табачных изделий, никотиносодержащей продукции или сырья для их производства, кальянов, устройств для потребления никотиносодержащей продукции или сырья для их производства влечет наложение административного штрафа (ч. 3 ст. 14.53 КоАП РФ).</w:t>
      </w:r>
    </w:p>
    <w:p>
      <w:pPr>
        <w:pStyle w:val="BodyText"/>
      </w:pPr>
      <w:r>
        <w:t xml:space="preserve">С 8 января 2025 года введена уголовная ответственность за повторную продажу несовершеннолетним табачной и иной продукции (ст. 151.1 УК РФ).</w:t>
      </w:r>
    </w:p>
    <w:p>
      <w:pPr>
        <w:pStyle w:val="BodyText"/>
      </w:pPr>
      <w:r>
        <w:t xml:space="preserve">Уголовному преследованию подлежит ПОВТОРНАЯ продажа несовершеннолетним: - табачной и никотиносодержащей продукции и сырья для их производства; - табачных изделий; - кальянов, устройств для потребления никотиносодержащей продукции. Повторность — совершение таких действий в период, когда лицо подвергнуто административному наказанию.</w:t>
      </w:r>
    </w:p>
    <w:p>
      <w:pPr>
        <w:pStyle w:val="BodyText"/>
      </w:pPr>
      <w:r>
        <w:t xml:space="preserve">Виды уголовного наказания:</w:t>
      </w:r>
    </w:p>
    <w:p>
      <w:pPr>
        <w:pStyle w:val="BodyText"/>
      </w:pPr>
      <w:r>
        <w:t xml:space="preserve">- штраф от 50 тыс. до 80 тыс. руб. либо в размере зарплаты или иного дохода осужденного за период от 3 до 6 месяцев - исправительные работы на срок до 1 года с лишением права занимать. определенные должности или заниматься определенной деятельностью на срок до 3 лет или без такового.</w:t>
      </w:r>
    </w:p>
    <w:p>
      <w:pPr>
        <w:pStyle w:val="BodyText"/>
      </w:pPr>
      <w:r>
        <w:rPr>
          <w:bCs/>
          <w:b/>
        </w:rPr>
        <w:t xml:space="preserve">Прокурор Юго-Западного административного округа г. Москвы разъясняет о внесении изменений в Уголовный кодекс Российской Федерации и статью 151 Уголовно-процессуального кодекса Российской Федерации</w:t>
      </w:r>
    </w:p>
    <w:p>
      <w:pPr>
        <w:pStyle w:val="BodyText"/>
      </w:pPr>
      <w:r>
        <w:t xml:space="preserve">Федеральным законом от 09.11.2024 № 383-ФЗ «О внесении изменений в Уголовный кодекс Российской Федерации и статью 151 Уголовно-процессуального кодекса Российской Федерации» усилена уголовная ответственность за организацию незаконной миграции, фиктивную регистрацию и фиктивную постановку на учет иностранных граждан и лиц без гражданства, подделку, изготовление или оборот поддельных документов.</w:t>
      </w:r>
    </w:p>
    <w:p>
      <w:pPr>
        <w:pStyle w:val="BodyText"/>
      </w:pPr>
      <w:r>
        <w:t xml:space="preserve">Соответствующие изменения, которыми повышаются санкции и вводятся новые квалифицирующие признаки, внесены в статьи 222.1- 222.2 и 3 2 7 У К РФ.</w:t>
      </w:r>
    </w:p>
    <w:p>
      <w:pPr>
        <w:pStyle w:val="BodyText"/>
      </w:pPr>
      <w:r>
        <w:t xml:space="preserve">Также в статью 151 УПК РФ внесены корреспондирующие изменения, касающиеся проведения предварительного следствия в отношении преступлений, связанных с организацией незаконной миграции.</w:t>
      </w:r>
    </w:p>
    <w:p>
      <w:pPr>
        <w:pStyle w:val="BodyText"/>
      </w:pPr>
      <w:r>
        <w:t xml:space="preserve">Кроме того. Федеральным законом от 09.11.2024 № 384-ФЗ «О внесении изменения в статью 63 Уголовного кодекса Российской Федерации» определено, что совершение преступления лицом, незаконно находящимся на территории РФ, будет признаваться обстоятельством, отягчающим наказание.</w:t>
      </w:r>
    </w:p>
    <w:p>
      <w:pPr>
        <w:pStyle w:val="BodyText"/>
      </w:pPr>
      <w:r>
        <w:t xml:space="preserve">Федеральным законом от 09.11.2024 N 385-ФЗ «О внесении изменения в статью 15.3 Федерального закона «Об информации, информационных технологиях и о защите информации» дополнено, информация, содержащая предложения о предоставлении незаконных услуг в сфере миграции, а также о способах, организации незаконной миграции, будет считаться информацией, распространяемой с нарушением закона.</w:t>
      </w:r>
    </w:p>
    <w:p>
      <w:pPr>
        <w:pStyle w:val="BodyText"/>
      </w:pPr>
      <w:r>
        <w:t xml:space="preserve">К информационным ресурсам, распространяющим такую информацию, будут применяться меры по ограничению к ним доступа.</w:t>
      </w:r>
    </w:p>
    <w:p>
      <w:pPr>
        <w:pStyle w:val="BodyText"/>
      </w:pPr>
      <w:r>
        <w:t xml:space="preserve">Федеральный закон от 09.11.2024 N 387-ФЗ «О внесении изменения в статью 104.1 Уголовного кодекса Российской Федерации» определено, что деньги, ценности и иное имущество, полученные от организации незаконной миграции, совершенной из корыстных побуждений, подлежат конфискации.</w:t>
      </w:r>
    </w:p>
    <w:p>
      <w:pPr>
        <w:pStyle w:val="BodyText"/>
      </w:pPr>
      <w:r>
        <w:t xml:space="preserve">Внесенными изменениями пункт "а" части первой статьи 104.1 УК РФ «Конфискация имущества» дополнен статьей 322.1 УК РФ (организация незаконной миграции). При этом предусматривается, что по данной категории уголовных дел конфискация будет применяться лишь при условии совершения преступления из корыстных побуждений. Вышеуказанные Федеральные законы вступают в силу со дня их официального опубликования.</w:t>
      </w:r>
    </w:p>
    <w:p>
      <w:pPr>
        <w:pStyle w:val="BodyText"/>
      </w:pPr>
      <w:r>
        <w:rPr>
          <w:bCs/>
          <w:b/>
        </w:rPr>
        <w:t xml:space="preserve">Прокурор Юго-Западного административного округа г. Москвы разъясняет о пропаганде наркотических средств</w:t>
      </w:r>
    </w:p>
    <w:p>
      <w:pPr>
        <w:pStyle w:val="BodyText"/>
      </w:pPr>
      <w:r>
        <w:t xml:space="preserve">Федеральным законом от 08.08.2024 № 226-ФЗ Уголовный кодекс Российской Федерации дополнен статьей 230.3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w:t>
      </w:r>
    </w:p>
    <w:p>
      <w:pPr>
        <w:pStyle w:val="BodyText"/>
      </w:pPr>
      <w:r>
        <w:t xml:space="preserve">Ответственность распространятся только на лиц, которые подвергнуты административному наказанию за аналогичное правонарушение, предусмотренное ст. 6.13 КоАП РФ, два раза в течение одного года либо имеющие судимость за совершение преступления, предусмотренного данной статьей.</w:t>
      </w:r>
    </w:p>
    <w:p>
      <w:pPr>
        <w:pStyle w:val="BodyText"/>
      </w:pPr>
      <w:r>
        <w:t xml:space="preserve">За совершение данного преступления к лицу могут быть применены следующие наказания:</w:t>
      </w:r>
    </w:p>
    <w:p>
      <w:pPr>
        <w:pStyle w:val="BodyText"/>
      </w:pPr>
      <w:r>
        <w:t xml:space="preserve">1) Штраф в размере от ста тысяч до трехсот тысяч рублей или в размере заработной платы или иного дохода за период от одного года до двух лет,</w:t>
      </w:r>
    </w:p>
    <w:p>
      <w:pPr>
        <w:pStyle w:val="BodyText"/>
      </w:pPr>
      <w:r>
        <w:t xml:space="preserve">2) Обязательные работы на срок от ста восьмидесяти до двухсот сорока часов с лишением права занимать определенные должности или заниматься определенной деятельностью на срок до двух лет,</w:t>
      </w:r>
    </w:p>
    <w:p>
      <w:pPr>
        <w:pStyle w:val="BodyText"/>
      </w:pPr>
      <w:r>
        <w:t xml:space="preserve">3) Исправительные работы на срок до двух лет с лишением права занимать определенные должности или заниматься определенной деятельностью на срок до двух лет,</w:t>
      </w:r>
    </w:p>
    <w:p>
      <w:pPr>
        <w:pStyle w:val="BodyText"/>
      </w:pPr>
      <w:r>
        <w:t xml:space="preserve">4) Ограничение свободы на срок до двух лет с лишением права занимать определенные должности или заниматься определенной деятельностью на срок до двух лет,</w:t>
      </w:r>
    </w:p>
    <w:p>
      <w:pPr>
        <w:pStyle w:val="BodyText"/>
      </w:pPr>
      <w:r>
        <w:t xml:space="preserve">5) Принудительные работы на срок до двух лет с лишением права занимать определенные должности или заниматься определенной деятельностью на срок до двух лет,</w:t>
      </w:r>
    </w:p>
    <w:p>
      <w:pPr>
        <w:pStyle w:val="BodyText"/>
      </w:pPr>
      <w:r>
        <w:t xml:space="preserve">6) Лишение свободы срок д о двух лет с лишением права занимать определенные должности,</w:t>
      </w:r>
    </w:p>
    <w:p>
      <w:pPr>
        <w:pStyle w:val="BodyText"/>
      </w:pPr>
      <w:r>
        <w:t xml:space="preserve">7) Заниматься определенной деятельностью на срок до двух лет или без такового.</w:t>
      </w:r>
    </w:p>
    <w:p>
      <w:pPr>
        <w:pStyle w:val="BodyText"/>
      </w:pPr>
      <w:r>
        <w:t xml:space="preserve">Указанные изменения вступают в силу с 1 сентября 2025 года.</w:t>
      </w:r>
    </w:p>
    <w:p>
      <w:pPr>
        <w:pStyle w:val="BodyText"/>
      </w:pPr>
      <w:r>
        <w:rPr>
          <w:bCs/>
          <w:b/>
        </w:rPr>
        <w:t xml:space="preserve">Прокурор Юго-Западного административного округа г. Москвы разъясняет о дополнении Лесного кодекса Российской Федерации новой главой</w:t>
      </w:r>
    </w:p>
    <w:p>
      <w:pPr>
        <w:pStyle w:val="BodyText"/>
      </w:pPr>
      <w:r>
        <w:t xml:space="preserve">Федеральным законом от 26.12.2024 № 491-ФЗ Лесной кодекс Российской Федерации дополнен новой главой, определяющей основные правила осуществления семеноводства в лесном фонде и в лесах на других категориях земель.</w:t>
      </w:r>
    </w:p>
    <w:p>
      <w:pPr>
        <w:pStyle w:val="BodyText"/>
      </w:pPr>
      <w:r>
        <w:t xml:space="preserve">Установлено, что при воспроизводстве лесов и лесоразведении не допускается применение: нерайонированных семян лесных растений, саженцев, сеянцев основных лесных древесных пород; семян лесных растений, саженцев, сеянцев основных лесных древесных пород, выращенных из семян лесных растений, посевные качества которых не определены.</w:t>
      </w:r>
    </w:p>
    <w:p>
      <w:pPr>
        <w:pStyle w:val="BodyText"/>
      </w:pPr>
      <w:r>
        <w:t xml:space="preserve">Кроме того, регламентированы особенности производства, хранения, транспортировки, реализации и использования семян лесных растений, саженцев, сеянцев основных лесных древесных пород, определены правила формирования федерального фонда семян лесных растений, а также предусмотрены особенности определения показателей посевных качеств семян лесных растений, по результатам которого выдается сертификат качества таких семян.</w:t>
      </w:r>
    </w:p>
    <w:p>
      <w:pPr>
        <w:pStyle w:val="BodyText"/>
      </w:pPr>
      <w:r>
        <w:t xml:space="preserve">Помимо прочего, законом до 1 января 2028 года в лесах, расположенных в лесопарковых зонах (за исключением функциональных зон активного отдыха и прогулочных зон), допускается прокладка бестраншейным способом подземных газопроводов газораспределительной сети без проведения рубок лесных насаждений. Проведение рубок лесных насаждений в границах охранных зон таких газопроводов не допускается.</w:t>
      </w:r>
    </w:p>
    <w:p>
      <w:pPr>
        <w:pStyle w:val="BodyText"/>
      </w:pPr>
      <w:r>
        <w:t xml:space="preserve">Федеральный закон вступил в законную силу с 26.12.2024, за исключением положений, для которых установлены иные сроки вступления в силу.</w:t>
      </w:r>
    </w:p>
    <w:p>
      <w:pPr>
        <w:pStyle w:val="BodyText"/>
      </w:pPr>
      <w:r>
        <w:rPr>
          <w:bCs/>
          <w:b/>
        </w:rPr>
        <w:t xml:space="preserve">Прокурор Юго-Западного административного округа г. Москвы разъясняет, с 01.01.2025 существенно расширяется прогрессивная шкала ставок по НДФЛ.</w:t>
      </w:r>
    </w:p>
    <w:p>
      <w:pPr>
        <w:pStyle w:val="BodyText"/>
      </w:pPr>
      <w:r>
        <w:t xml:space="preserve">С 01.01.2025 существенно расширяется прогрессивная шкала ставок по НДФЛ.</w:t>
      </w:r>
    </w:p>
    <w:p>
      <w:pPr>
        <w:pStyle w:val="BodyText"/>
      </w:pPr>
      <w:r>
        <w:t xml:space="preserve">Вместо двух ставок — 13% и 15° Ь — для основных видов доходов налоговых резидентов России вводится пять различных ставок, каждая из которых применяется к превышению суммового порога предыдущей (п. 1 ст. 224 НК).</w:t>
      </w:r>
    </w:p>
    <w:p>
      <w:pPr>
        <w:pStyle w:val="BodyText"/>
      </w:pPr>
      <w:r>
        <w:t xml:space="preserve">Для доходов в виде оплаты труда лиц, работаю щ их на Крайнем Севере, а также участников С В О сохранятся текущие ставки налогообложения: 13% — до 5 млн руб. включительно; 15% — свыше этой суммы (п. 1.2 ст. 224, п. 6.1 и 6.2 ст. 210 НК).</w:t>
      </w:r>
    </w:p>
    <w:p>
      <w:pPr>
        <w:pStyle w:val="BodyText"/>
      </w:pPr>
      <w:r>
        <w:t xml:space="preserve">Кроме того, для отдельных видов доходов налоговых резидентов России, таких как: доходы от продажи имущества; страховые доходы; доходы от долевого участия (дивиденды); доходы по операциям с ценными бумагами, долями и ПФИ; отдельные виды материальной выгоды; доходы по операциям РЕПО и процентам по вкладам, установлены следующие ставки (п. 6 ст. 2 1 0 Н К ).</w:t>
      </w:r>
    </w:p>
    <w:p>
      <w:pPr>
        <w:pStyle w:val="BodyText"/>
      </w:pPr>
      <w:r>
        <w:t xml:space="preserve">Также изменены ставки по доходам отдельных налоговых нерезидентов России. Так, доходы ВКС, иностранных граждан, работаю щ их по найму, экипаж ей судов и беженцев будут облагаться по пяти основным налоговым ставкам. По этим же ставкам будут облагаться доходы работников, осуществляющих трудовую деятельность из-за рубежа, а также лиц, оказывающих из-за рубежа услуги по Интернету с использованием российских доменных имен.</w:t>
      </w:r>
    </w:p>
    <w:p>
      <w:pPr>
        <w:pStyle w:val="BodyText"/>
      </w:pPr>
      <w:r>
        <w:rPr>
          <w:bCs/>
          <w:b/>
        </w:rPr>
        <w:t xml:space="preserve">Прокурор Юго-Западного административного округа г. Москвы разъясняет о договорах дарения недвижимости</w:t>
      </w:r>
    </w:p>
    <w:p>
      <w:pPr>
        <w:pStyle w:val="BodyText"/>
      </w:pPr>
      <w:r>
        <w:t xml:space="preserve">Договоры дарения недвижимости необходимо заверять у нотариуса в связи с Федерального закона от 13 декабря 2024 года № 459-ФЗ «О внесении изменений в статью 574 части второй Гражданского кодекса Российской Федерации», то есть с 10 января 2025 года.</w:t>
      </w:r>
    </w:p>
    <w:p>
      <w:pPr>
        <w:pStyle w:val="BodyText"/>
      </w:pPr>
      <w:r>
        <w:t xml:space="preserve">Процедура является платной: госпошлина составит 0,5% суммы договора, но не более 20 тыс. рублей; региональный тариф — 5 500 рублей за один объект;</w:t>
      </w:r>
    </w:p>
    <w:p>
      <w:pPr>
        <w:pStyle w:val="BodyText"/>
      </w:pPr>
      <w:r>
        <w:t xml:space="preserve">получатель недвижимости заплатит НДФЛ, если не является дарителю близким родственником.</w:t>
      </w:r>
    </w:p>
    <w:p>
      <w:pPr>
        <w:pStyle w:val="BodyText"/>
      </w:pPr>
      <w:r>
        <w:rPr>
          <w:bCs/>
          <w:b/>
        </w:rPr>
        <w:t xml:space="preserve">Прокурор Юго-Западного административного округа г. Москвы разъясняет об ответственности за нарушения правил выгула и других требований к содержанию домашних животных</w:t>
      </w:r>
    </w:p>
    <w:p>
      <w:pPr>
        <w:pStyle w:val="BodyText"/>
      </w:pPr>
      <w:r>
        <w:t xml:space="preserve">Установлена ответственность за нарушения правил выгула и других требований к содержанию домашних животных.</w:t>
      </w:r>
    </w:p>
    <w:p>
      <w:pPr>
        <w:pStyle w:val="BodyText"/>
      </w:pPr>
      <w:r>
        <w:t xml:space="preserve">Федеральным законом от 30.11.2024 № 440-ФЗ внесены изменения в статью 8.52 Кодекса Российской Федерации об административных правонарушениях, которой предусмотрена административная ответственность за несоблюдение требований к содержанию животных.</w:t>
      </w:r>
    </w:p>
    <w:p>
      <w:pPr>
        <w:pStyle w:val="BodyText"/>
      </w:pPr>
      <w:r>
        <w:t xml:space="preserve">К числу охраняемых законом требований, в частности, относятся: - соблюдение прав и законных интересов соседей по многоквартирному дому, окружающих (причинение собакой ущерба имуществу других лиц, нападение собаки на других животных или людей); - обеспечение безопасности окружающих при выгуле домашнего животного (к примеру, не допускать выгул потенциально опасной собаки без поводка и намордника, исключать возможность неконтролируемого передвижения питомца вне мест, разрешенных для выгула); - уборка продуктов жизнедеятельности животного в местах и на территориях общего пользования и др.</w:t>
      </w:r>
    </w:p>
    <w:p>
      <w:pPr>
        <w:pStyle w:val="BodyText"/>
      </w:pPr>
      <w:r>
        <w:t xml:space="preserve">За несоблюдение этих требований к содержанию животных грозит. административный штраф: для граждан в размере от 1 500 до 3 000 рублей; для' должностных лиц от 5 000 до 15 000 рублей; для юридических лиц от 15 000 до 30 000 рублей.</w:t>
      </w:r>
    </w:p>
    <w:p>
      <w:pPr>
        <w:pStyle w:val="BodyText"/>
      </w:pPr>
      <w:r>
        <w:t xml:space="preserve">Административная ответственность не применяется к владельцу питомца в случае, если такое нарушение допущено в результате действий иного лица, которое должно было непосредственно присматривать за животным, а также если животное выбыло из владения в результате противоправных действий других лиц.</w:t>
      </w:r>
    </w:p>
    <w:p>
      <w:pPr>
        <w:pStyle w:val="BodyText"/>
      </w:pPr>
      <w:r>
        <w:rPr>
          <w:bCs/>
          <w:b/>
        </w:rPr>
        <w:t xml:space="preserve">Прокурор Юго-Западного административного округа г. Москвы разъясняет об устанавке самозапрета на выдачу кредитов</w:t>
      </w:r>
    </w:p>
    <w:p>
      <w:pPr>
        <w:pStyle w:val="BodyText"/>
      </w:pPr>
      <w:r>
        <w:t xml:space="preserve">С 1 марта 2025 года гражданам можно будет устанавливать самозапрет на выдачу кредитов.</w:t>
      </w:r>
    </w:p>
    <w:p>
      <w:pPr>
        <w:pStyle w:val="BodyText"/>
      </w:pPr>
      <w:r>
        <w:t xml:space="preserve">Федеральным законом от 26.02.2024 № 31-ФЗ в Федеральные законы «О кредитных ис ториях» и «О потребительском кредите (займе)» внесены изменения,</w:t>
      </w:r>
    </w:p>
    <w:p>
      <w:pPr>
        <w:pStyle w:val="BodyText"/>
      </w:pPr>
      <w:r>
        <w:t xml:space="preserve">позволяющие гражданам Российской Федерации устанавливать самозапрет на; выдачу кредитов и займов.</w:t>
      </w:r>
    </w:p>
    <w:p>
      <w:pPr>
        <w:pStyle w:val="BodyText"/>
      </w:pPr>
      <w:r>
        <w:t xml:space="preserve">Закон даст гражданам возможность дополнительно защитить себя от мошенников, которые оформляют кредиты и микрозаймы на чужое имя, используя украденные или полученные обманом персональные данные.</w:t>
      </w:r>
    </w:p>
    <w:p>
      <w:pPr>
        <w:pStyle w:val="BodyText"/>
      </w:pPr>
      <w:r>
        <w:t xml:space="preserve">Для установления или снятия такого запрета физическое лицо вправе бесплатно любое количество раз подать заявление в квалифицированные бюро кредитных историй через МФЦ либо портал «Госуслуг».</w:t>
      </w:r>
    </w:p>
    <w:p>
      <w:pPr>
        <w:pStyle w:val="BodyText"/>
      </w:pPr>
      <w:r>
        <w:t xml:space="preserve">При этом закон не будет распространяться на ипотеку, автокредиты, а также образовательные кредиты, предоставленные в рамках государственной поддержки. Поправки вступают в силу с 1 марта 2025 года.</w:t>
      </w:r>
    </w:p>
    <w:p>
      <w:pPr>
        <w:pStyle w:val="BodyText"/>
      </w:pPr>
      <w:r>
        <w:rPr>
          <w:bCs/>
          <w:b/>
        </w:rPr>
        <w:t xml:space="preserve">Прокурор Юго-Западного административного округа г. Москвы разъясняет о запрете продажи несовершеннолетним потенциально опасных газосодержащих товаров бытового назначения.</w:t>
      </w:r>
    </w:p>
    <w:p>
      <w:pPr>
        <w:pStyle w:val="BodyText"/>
      </w:pPr>
      <w:r>
        <w:t xml:space="preserve">Принят закон о запрете продажи несовершеннолетним потенциально опасных газосодержащих товаров бытового назначения.</w:t>
      </w:r>
    </w:p>
    <w:p>
      <w:pPr>
        <w:pStyle w:val="BodyText"/>
      </w:pPr>
      <w:r>
        <w:t xml:space="preserve">С 01.03.2025 вступают в силу положения Федерального закона от 30.11.2024 № 438-Ф З «О внесении изменения в отдельны е законодательные акты Российской Федерации», в соответствии с которым и запрещается продажа детям товаров бытового назначения, содержащих сжиженные углеводородные газы.</w:t>
      </w:r>
    </w:p>
    <w:p>
      <w:pPr>
        <w:pStyle w:val="BodyText"/>
      </w:pPr>
      <w:r>
        <w:t xml:space="preserve">В целях обеспечения прав детей на охрану здоровья от негативного воздействия сжиженных углеводородных газов запрещается продажа (в том числе дистанционным способом) несовершеннолетним потенциально опасных газосодержащих товаров бытового назначения. Перечень таких товаров будет установлен Правительством Российской Федерации до 01.03.2025.</w:t>
      </w:r>
    </w:p>
    <w:p>
      <w:pPr>
        <w:pStyle w:val="BodyText"/>
      </w:pPr>
      <w:r>
        <w:t xml:space="preserve">Потенциально опасные газосодержащие товары бытового назначения — товары для личных и бытовых нужд, содержащие сжиженные углеводородные газы, представляющие опасность для жизни и здоровья при использовании путем вдыхания указанных газов и их паров.</w:t>
      </w:r>
    </w:p>
    <w:p>
      <w:pPr>
        <w:pStyle w:val="BodyText"/>
      </w:pPr>
      <w:r>
        <w:t xml:space="preserve">В указанном законе закреплено, что продавец обязан отказать покупателю в продаже, в том числе дистанционным способом — посредством онлайн-магазинов, потенциально опасных газосодержащих товаров бытового назначения, если в отношении покупателя имеются сомнения в достижении им совершеннолетия, но продавец не может в этом удостовериться.</w:t>
      </w:r>
    </w:p>
    <w:p>
      <w:pPr>
        <w:pStyle w:val="BodyText"/>
      </w:pPr>
      <w:r>
        <w:rPr>
          <w:bCs/>
          <w:b/>
        </w:rPr>
        <w:t xml:space="preserve">Прокурор Юго-Западного административного округа г. Москвы разъясняет об установлении уголовной ответственности за незаконное использование компьютерной информации, содержащей персональные данные.</w:t>
      </w:r>
    </w:p>
    <w:p>
      <w:pPr>
        <w:pStyle w:val="BodyText"/>
      </w:pPr>
      <w:r>
        <w:t xml:space="preserve">Установлена уголовная ответственность за незаконное использование компьютерной информации, содержащей персональные данные.</w:t>
      </w:r>
    </w:p>
    <w:p>
      <w:pPr>
        <w:pStyle w:val="BodyText"/>
      </w:pPr>
      <w:r>
        <w:t xml:space="preserve">Федеральным законом о т 30.11.2024 № 421-Ф З в Уголовный кодекс Российской Федерации введена статья 272.1, предусматривающая уголовную ответственность за незаконные использование, передачу, сбор, хранение компьютерной информации, содержащей персональные данные, а равно создание, обеспечение функционирования информационных ресурсов, предназначенных для ее незаконных хранения и распространения.</w:t>
      </w:r>
    </w:p>
    <w:p>
      <w:pPr>
        <w:pStyle w:val="BodyText"/>
      </w:pPr>
      <w:r>
        <w:t xml:space="preserve">Под компьютерной информацией понимаются сведения, представленные в форме электрических сигналов, независимо от средств их хранения, обработки и передачи. Указанные сведения могут содержаться как в памяти ЭВМ или других компьютерных устройств, так и на любых внешних носителях.</w:t>
      </w:r>
    </w:p>
    <w:p>
      <w:pPr>
        <w:pStyle w:val="BodyText"/>
      </w:pPr>
      <w:r>
        <w:t xml:space="preserve">Персональные данные — любая информация, относящаяся к определенному физическому лицу, то есть субъекту персональных данных. К такой информации относятся: ФИО, дата рождения, место рождения, ИНН, адрес, телефон, семейное положение, социальное положение, имущественное положение, образование, профессия, занимаемая должность, стаж работы, доходы и иная информация. Ключевым условием наступления ответственности, предусмотренной ст. 272.1 УК РФ является одновременное наличие двух составляющих в действиях виновного лица: - незаконный способ завладения персональными данными в электронном виде; - незаконные действия, связанные с их распространением. За совершение данного деяния предусмотрено максимальное наказание в виде лишения свободы на срок до десяти лет со штрафом в размере до трех миллионов рублей. Возможно также лишение права занимать определенные должности или заниматься определенной деятельностью на срок до пяти лет.</w:t>
      </w:r>
    </w:p>
    <w:p>
      <w:pPr>
        <w:pStyle w:val="BodyText"/>
      </w:pPr>
      <w:r>
        <w:t xml:space="preserve">Так же наказуемым стало создание ресурсов, сайтов в сети «Интернет» заведомо предназначенных для незаконного хранения, передачи (распространения, предоставления, доступа) компьютерной информации, содержащей персональные данные, полученной незаконным путем.</w:t>
      </w:r>
    </w:p>
    <w:p>
      <w:pPr>
        <w:pStyle w:val="BodyText"/>
      </w:pPr>
      <w:r>
        <w:t xml:space="preserve">Следует обратить внимание, что действие настоящей статьи не. распространяется на случаи обработки персональных данных физическими лицами исключительно для личных и семейных нужд.</w:t>
      </w:r>
    </w:p>
    <w:p>
      <w:pPr>
        <w:pStyle w:val="BodyText"/>
      </w:pPr>
      <w:r>
        <w:rPr>
          <w:bCs/>
          <w:b/>
        </w:rPr>
        <w:t xml:space="preserve">Прокурор Юго-Западного административного округа г. Москвы разъясняет о видах компенсаций за работу в выходные и нерабочие праздничные дни</w:t>
      </w:r>
    </w:p>
    <w:p>
      <w:pPr>
        <w:pStyle w:val="BodyText"/>
      </w:pPr>
      <w:r>
        <w:t xml:space="preserve">Виды компенсаций за работу в выходные и нерабочие праздничные дни. Статьей 153 Трудового кодекса Российской Федерации установлена обязанность работодателя компенсировать работу в выходной и нерабочий. праздничным день и оплатить отработанное время не менее чем в двойном размере или предоставить другой день отдыха.</w:t>
      </w:r>
    </w:p>
    <w:p>
      <w:pPr>
        <w:pStyle w:val="BodyText"/>
      </w:pPr>
      <w:r>
        <w:t xml:space="preserve">Работа в выходной и нерабочий праздничный день оплачивается: сдельщикам не менее чем по двойным сдельным расценкам; - работникам, труд которых оплачивается по дневным и часовым тарифным ставкам, в размере не менее двойной дневной или часовой тарифной ставки; - работникам, получающим оклад, в размере не менее одинарной дневной или часовой ставки за день или час работы сверх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сверх оклада, если работа производилась сверх месячной нормы рабочего времени.</w:t>
      </w:r>
    </w:p>
    <w:p>
      <w:pPr>
        <w:pStyle w:val="BodyText"/>
      </w:pPr>
      <w:r>
        <w:t xml:space="preserve">Конкретный размер оплаты работы в выходной или нерабочий праздничный день может устанавливаться коллективным договором, локальным нормативным актом, принимаемым с учетом мнения представительного органа работников, трудовым договором. Оплата в повышенном размере производится всем работникам за часы, фактически отработанные в выходной или нерабочий праздничный день. Если на выходной или нерабочий праздничный день приходится часть рабочего дня(смены), в повышенном размере оплачиваются часы, фактически отработанные в такой день (от 0 до 24 часов),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pPr>
        <w:pStyle w:val="BodyText"/>
      </w:pPr>
      <w:r>
        <w:t xml:space="preserve">Федеральным законом от 30.09.2024 № 339-ФЗ статья 153 Трудового кодекса Российской Федерации дополнена новыми нормами, согласно которым указанный выше день отдыха по желанию работника может быть использован в течение одного года со дня работы в выходной или нерабочий праздничный день либо присоединен к отпуску, предоставляемому в указанный период.</w:t>
      </w:r>
    </w:p>
    <w:p>
      <w:pPr>
        <w:pStyle w:val="BodyText"/>
      </w:pPr>
      <w:r>
        <w:t xml:space="preserve">В случае, если на день увольнение работника имеется день отдыха за работу в выходной или нерабочий праздничный день, не использованный им в период трудовой деятельности у работодателя, с которым прекращается трудовой договор, в день увольнения работнику выплачивается разница между оплатой работы в выходной или нерабочий праздничный день, полагавшейся ему, и фактически произведенной оплатой работы в этот день. Указанная разница выплачивается работнику за все дни отдыха за работу в выходные или нерабочие праздничные дни, не использованные им в период трудовой деятельности у данного работодателя.</w:t>
      </w:r>
    </w:p>
    <w:p>
      <w:pPr>
        <w:pStyle w:val="BodyText"/>
      </w:pPr>
      <w:r>
        <w:t xml:space="preserve">Федеральный закон вступает в силу с 1 марта 2025 года.</w:t>
      </w:r>
    </w:p>
    <w:p>
      <w:pPr>
        <w:pStyle w:val="BodyText"/>
      </w:pPr>
      <w:r>
        <w:rPr>
          <w:bCs/>
          <w:b/>
        </w:rPr>
        <w:t xml:space="preserve">Прокурор Юго-Западного административного округа г. Москвы разъясняет о изменения в статью 351.7 Трудового кодекса РФ</w:t>
      </w:r>
    </w:p>
    <w:p>
      <w:pPr>
        <w:pStyle w:val="BodyText"/>
      </w:pPr>
      <w:r>
        <w:t xml:space="preserve">За участниками специальной военной операции сохранят рабочие места на весь период службы. Федеральным законом от 26.12.2024 № 498-ФЗ внесены изменения в статью 351.7 Трудового кодекса РФ, которые вступают в силу с 1 марта 2025 года, согласно изменениям, действие трудового договора подлежит приостановлению на весь период прохождения работником службы или действия контракта. Работодатель на основании заявления работника издает приказ о приостановлении действия трудового договора. На этот период за работником сохраняется место работы (должность). Работодатель не позднее дня приостановления действия трудового договора у обязан выплатить работнику причитающиеся ему выплаты в полном объеме. На период приостановления действия трудового договора в отношении работника сохраняются социально-трудовые гарантии, право на предоставление которых он получил до начала указанного периода (в том числе дополнительное страхование "У работника, негосударственное пенсионное обеспечение работника, улучшение социально-бытовых условий работника и членов его семьи). Работодатель в период приостановления действия трудового договора вправе выплачивать работнику материальную помощь. Этот период за считывается в трудовой стаж работника, а также в стаж работы по специальности (за исключением случаев досрочного назначения страховой пенсии по старости).</w:t>
      </w:r>
    </w:p>
    <w:p>
      <w:pPr>
        <w:pStyle w:val="BodyText"/>
      </w:pPr>
      <w:r>
        <w:t xml:space="preserve">Действие трудового договора возобновляется в день выхода работника на работу. Работник обязан предупредить работодателя о своем выходе на работу не позднее чем за три рабочих дня. Работник в течение шести месяцев после возобновления трудового договора имеет право на предоставление ему ежегодного оплачиваемого отпуска в удобное для него время независимо от стажа работы у работодателя.</w:t>
      </w:r>
    </w:p>
    <w:p>
      <w:pPr>
        <w:pStyle w:val="BodyText"/>
      </w:pPr>
      <w:r>
        <w:t xml:space="preserve">Расторжение по инициативе работодателя трудового договора с работником в период приостановления действия трудового договора не допускается, за исключением отдельных случаев (ликвидация организации, прекращение деятельности ИП, истечение срока действия трудового договора, если он был заключен на определенный срок (сезонные работы, временные работы и др.).</w:t>
      </w:r>
    </w:p>
    <w:p>
      <w:pPr>
        <w:pStyle w:val="BodyText"/>
      </w:pPr>
      <w:r>
        <w:t xml:space="preserve">В случае, если работник не вышел на работу по истечении трех месяцев после окончания прохождения им службы, расторжение трудового договора с работником осуществляется по инициативе работодателя по п. 13.1 ч.1 ст. 81 Трудового кодекса РФ.</w:t>
      </w:r>
    </w:p>
    <w:p>
      <w:pPr>
        <w:pStyle w:val="BodyText"/>
      </w:pPr>
      <w:r>
        <w:t xml:space="preserve">Несмотря на это, лицо, с которым был расторгнут трудовой договор по указанному основанию, имеет преимущественное право поступления на работу по ранее занимаемой должности у работодателя, с которым указанное лицо состояло в трудовых отношениях до призыва на службу, заключения контракта, в случае отсутствия вакансии по такой должности на другую вакантную должность или работу, соответствующую квалификации работника, а при их отсутствии на вакантную нижестоящую должность или нижеоплачиваемую работу.</w:t>
      </w:r>
    </w:p>
    <w:p>
      <w:pPr>
        <w:pStyle w:val="BodyText"/>
      </w:pPr>
      <w:r>
        <w:t xml:space="preserve">При этом работа по соответствующей должности не должна быть противопоказана по состоянию здоровья.</w:t>
      </w:r>
    </w:p>
    <w:p>
      <w:pPr>
        <w:pStyle w:val="BodyText"/>
      </w:pPr>
      <w:r>
        <w:rPr>
          <w:bCs/>
          <w:b/>
        </w:rPr>
        <w:t xml:space="preserve">Прокурор Юго-Западного административного округа г. Москвы разъясняет о порядке проверки представленных заказчиком документов</w:t>
      </w:r>
    </w:p>
    <w:p>
      <w:pPr>
        <w:pStyle w:val="BodyText"/>
      </w:pPr>
      <w:r>
        <w:t xml:space="preserve">Федеральной антимонопольной службой России в соответствии с ч. 1 ст. 5 Закона № 223-ФЗ утвержден Порядок проверки представленных заказчиком документов, содержащих сведения, предусмотренные пунктами 2-4 Правил, утвержденных постановлением Правительства РФ от 22 ноября 2012 г. № 1211 (далее — Порядок) (приказ ФАС Росси и от 24 декабря 2024 г. № 1072/24).</w:t>
      </w:r>
    </w:p>
    <w:p>
      <w:pPr>
        <w:pStyle w:val="BodyText"/>
      </w:pPr>
      <w:r>
        <w:t xml:space="preserve">Порядком, в частности, предусмотрено, что документы, содержащие соответствующие сведения, направляются заказчиком в ФАС Росси и либо ее</w:t>
      </w:r>
    </w:p>
    <w:p>
      <w:pPr>
        <w:pStyle w:val="BodyText"/>
      </w:pPr>
      <w:r>
        <w:t xml:space="preserve">территориальный орган по месту нахождения заказчика, указанному в извещении о закупке (документации о закупке). При этом ФАС России рассматривает указанные документы в случаях проведения закупки, НМЦД (цена лота) которой превышает:</w:t>
      </w:r>
    </w:p>
    <w:p>
      <w:pPr>
        <w:pStyle w:val="BodyText"/>
      </w:pPr>
      <w:r>
        <w:t xml:space="preserve">700 млн руб.; 100 млн руб., заказчикам и, у которых общая сумма договоров, заключенных в течение года, предшествующего году, в котором направляются; документы, превышает 1 млрд руб.; Проверка документов, представляемых заказчиками, проводится комиссией по контролю в сфере закупок центрального аппарата ФАС России либо её территориального органа в течение 10 рабочих дней со дня поступления.</w:t>
      </w:r>
    </w:p>
    <w:p>
      <w:pPr>
        <w:pStyle w:val="BodyText"/>
      </w:pPr>
      <w:r>
        <w:rPr>
          <w:bCs/>
          <w:b/>
        </w:rPr>
        <w:t xml:space="preserve">Прокурор Юго-Западного административного округа г. Москвы разъясняет о порядке рассмотрения обращений граждан Российской Федерации</w:t>
      </w:r>
    </w:p>
    <w:p>
      <w:pPr>
        <w:pStyle w:val="BodyText"/>
      </w:pPr>
      <w:r>
        <w:t xml:space="preserve">Федеральным законом от 28.12.2024 № 547-ФЗ внесены изменения в Федеральный закон «О порядке рассмотрения обращений граждан Российской Федерации».</w:t>
      </w:r>
    </w:p>
    <w:p>
      <w:pPr>
        <w:pStyle w:val="BodyText"/>
      </w:pPr>
      <w:r>
        <w:t xml:space="preserve">Согласно нововведениям, граждане могут направлять обращения в государственные органы, органы местного самоуправления или должностным - лицам в форме электронного документа с использованием Единого портала государственных и муниципальных услуг (функций), иных информационных систем либо официальных сайтов государственных органов или органов местного самоуправления в сети Интернет, обеспечивающих идентификацию и (или) аутентификацию граждан. Ответ на обращение направляется в форме электронного документа по адресу электронной почты, указанному в обращении, либо по адресу (уникальному идентификатору) личного кабинета гражданина на Едином портале или в иной, информационной системе государственного органа или органа местного самоуправления, обеспечивающей идентификацию и (или) аутентификацию гражданина, и в письменной форме по почтовому адресу, указанному в обращении, поступившем в государственный орган, орган местного самоуправления или должностному лицу в письменной форме. В целях обеспечения безопасности граждан в связи с их обращениям и в органы, осуществляющие оперативно-розыскную деятельность или обеспечение безопасности Российской Федерации, нормативными правовыми актами указанных органов может быть установлен особый порядок направления обращений в форме электронного документа и направления ответов на обращения и соответствующих уведомлений.</w:t>
      </w:r>
    </w:p>
    <w:p>
      <w:pPr>
        <w:pStyle w:val="BodyText"/>
      </w:pPr>
      <w:r>
        <w:t xml:space="preserve">Поправки вступят в силу с 30.03.2025.</w:t>
      </w:r>
    </w:p>
    <w:p>
      <w:pPr>
        <w:pStyle w:val="BodyText"/>
      </w:pPr>
      <w:r>
        <w:rPr>
          <w:bCs/>
          <w:b/>
        </w:rPr>
        <w:t xml:space="preserve">Прокурор Юго-Западного административного округа г. Москвы разъясняет о внесении изменений в Кодекс Российской Федерации об административных правонарушениях</w:t>
      </w:r>
    </w:p>
    <w:p>
      <w:pPr>
        <w:pStyle w:val="BodyText"/>
      </w:pPr>
      <w:r>
        <w:t xml:space="preserve">Согласно Федеральном у закону от 26.12.2024 № 490-Ф З «О внесении изменений в Кодекс Российской Федерации об административных правонарушениях» ужесточается административная ответственность за нарушение правил применения ремней безопасности или мотошлемов; - управление транспортным средством водителем, находящимся в состоянии опьянения, передачу управления транспортным средством лицу, находящемуся в состоянии опьянения;</w:t>
      </w:r>
    </w:p>
    <w:p>
      <w:pPr>
        <w:pStyle w:val="BodyText"/>
      </w:pPr>
      <w:r>
        <w:t xml:space="preserve">- превышение установленной скорости движения; - проезд на запрещающий сигнал светофора или па запрещающий жест ф регулировщика; - нарушение правил расположения транспортного средства на проезжей части дороги, встречного разъезда или обгона; - несоблюдение требований, предписанных дорожными знаками или разметкой проезжей части дороги;</w:t>
      </w:r>
    </w:p>
    <w:p>
      <w:pPr>
        <w:pStyle w:val="BodyText"/>
      </w:pPr>
      <w:r>
        <w:t xml:space="preserve">-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 - нарушение правил движения тяжеловесного и (или) крупногабаритного транспортного средства; - невыполнение водителем требования о прохождении медицинского освидетельствования на состояние опьянения.</w:t>
      </w:r>
    </w:p>
    <w:p>
      <w:pPr>
        <w:pStyle w:val="BodyText"/>
      </w:pPr>
      <w:r>
        <w:t xml:space="preserve">Кроме того, с 20 до 30 дней увеличивается срок, в течение которого лицо,. привлеченное к административной ответственности за ряд нарушений ПДД, может уплатить штраф со скидкой, однако при этом размер скидки уменьшен с 50 процентов до 25 процентов. Предусматривается, что указанные изменения в порядок уплаты.</w:t>
      </w:r>
    </w:p>
    <w:p>
      <w:pPr>
        <w:pStyle w:val="BodyText"/>
      </w:pPr>
      <w:r>
        <w:t xml:space="preserve">административного штрафа не распространяются на правоотношения, связанные с исполнением постановлений по делам об административных правонарушениях,- совершенных до дня вступления в силу настоящего Федерального закона.</w:t>
      </w:r>
    </w:p>
    <w:p>
      <w:pPr>
        <w:pStyle w:val="BodyText"/>
      </w:pPr>
      <w:r>
        <w:t xml:space="preserve">Указанные изменения вступили в законную силу с 01.01.2025.</w:t>
      </w:r>
    </w:p>
    <w:p>
      <w:pPr>
        <w:pStyle w:val="BodyText"/>
      </w:pPr>
      <w:r>
        <w:rPr>
          <w:bCs/>
          <w:b/>
        </w:rPr>
        <w:t xml:space="preserve">Прокурор Юго-Западного административного округа г. Москвы разъясняет о внесении изменений в Федеральный закон «Об отходах производства и потребления» и Федеральный закон «Об охране окружающей среды»</w:t>
      </w:r>
    </w:p>
    <w:p>
      <w:pPr>
        <w:pStyle w:val="BodyText"/>
      </w:pPr>
      <w:r>
        <w:t xml:space="preserve">Федеральным законом от 26.12.2024 № 497-ФЗ внесены изменения в Федеральный закон «Об отходах производства и потребления» и Федеральный закон «Об охране окружающей среды» в части установления особенностей регулирования обращения с твердыми коммунальными отходами на труднодоступных территориях.</w:t>
      </w:r>
    </w:p>
    <w:p>
      <w:pPr>
        <w:pStyle w:val="BodyText"/>
      </w:pPr>
      <w:r>
        <w:t xml:space="preserve">В соответствии с внесенными изменениями, труднодоступная территория - территория, которая расположена в границах одного или нескольких муниципальных образований либо части муниципального образования и из которой в связи с географическими, природно-климатическими особенностями отсутствует возможность круглогодичного регулярного (не реже одного раза в месяц) транспортирования твердых коммунальных отходов автомобильным транспортом за пределы такой территории.</w:t>
      </w:r>
    </w:p>
    <w:p>
      <w:pPr>
        <w:pStyle w:val="BodyText"/>
      </w:pPr>
      <w:r>
        <w:t xml:space="preserve">Перечень таких труднодоступных территорий определяется субъектами Российской Федерации в составе территориальных схем обращения с отходами при условии, что указанный перечень согласован с российским экологическим оператором и федеральным органом исполнительной власти, осуществляющим государственный экологический контроль (надзор).</w:t>
      </w:r>
    </w:p>
    <w:p>
      <w:pPr>
        <w:pStyle w:val="BodyText"/>
      </w:pPr>
      <w:r>
        <w:t xml:space="preserve">Указанные изменения вступили в законную силу с 01.01.2025.</w:t>
      </w:r>
    </w:p>
    <w:p>
      <w:pPr>
        <w:pStyle w:val="BodyText"/>
      </w:pPr>
      <w:r>
        <w:br/>
      </w:r>
    </w:p>
    <w:p>
      <w:pPr>
        <w:pStyle w:val="BodyText"/>
      </w:pPr>
      <w:r>
        <w:t xml:space="preserve">Адрес страницы:</w:t>
      </w:r>
      <w:r>
        <w:t xml:space="preserve"> </w:t>
      </w:r>
      <w:hyperlink r:id="rId21">
        <w:r>
          <w:rPr>
            <w:rStyle w:val="Hyperlink"/>
          </w:rPr>
          <w:t xml:space="preserve">http://zuzino.mos.ru/presscenter/article/detail/12813918.html</w:t>
        </w:r>
      </w:hyperlink>
    </w:p>
    <w:p>
      <w:pPr>
        <w:pStyle w:val="BodyText"/>
      </w:pPr>
      <w:hyperlink r:id="rId22">
        <w:r>
          <w:rPr>
            <w:rStyle w:val="Hyperlink"/>
          </w:rPr>
          <w:t xml:space="preserve">Управа района Зюзино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zuzino.mos.ru" TargetMode="External" /><Relationship Type="http://schemas.openxmlformats.org/officeDocument/2006/relationships/hyperlink" Id="rId21" Target="http://zuzino.mos.ru/presscenter/article/detail/12813918.html" TargetMode="External" /></Relationships>
</file>

<file path=word/_rels/footnotes.xml.rels><?xml version="1.0" encoding="UTF-8"?><Relationships xmlns="http://schemas.openxmlformats.org/package/2006/relationships"><Relationship Type="http://schemas.openxmlformats.org/officeDocument/2006/relationships/hyperlink" Id="rId22" Target="http://zuzino.mos.ru" TargetMode="External" /><Relationship Type="http://schemas.openxmlformats.org/officeDocument/2006/relationships/hyperlink" Id="rId21" Target="http://zuzino.mos.ru/presscenter/article/detail/1281391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2025-02-21T22:21:51Z</dcterms:created>
  <dcterms:modified xsi:type="dcterms:W3CDTF">2025-02-21T22:21:51Z</dcterms:modified>
</cp:coreProperties>
</file>

<file path=docProps/custom.xml><?xml version="1.0" encoding="utf-8"?>
<Properties xmlns="http://schemas.openxmlformats.org/officeDocument/2006/custom-properties" xmlns:vt="http://schemas.openxmlformats.org/officeDocument/2006/docPropsVTypes"/>
</file>