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9c9c659e1ced90d999b6733e2750955e390115"/>
    <w:p>
      <w:pPr>
        <w:pStyle w:val="Heading3"/>
      </w:pPr>
      <w:r>
        <w:t xml:space="preserve">Прокурор ЮЗАО г. Москвы разъясняет "Запрет продажи безалкогольных тонизирующих напитков несовершеннолетним" (в том числе энергетических)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524/5244b0e85300bef38ae316be0df4d254/14.-PROKURATURA-YUZ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200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H0a5V_tGaGc2m72TX5TdjG7602yDO-wSMJ5bXUpIBQLJZdhtoCefuMUr-af5Qhhl7Q8UDny4V8T9_5k8A9E86UCmSP8S1GVCNBA-VD_ZazCD2QORDSVJFvyJFCJd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0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http://zuzino.mos.ru/presscenter/article/detail/12981413.html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article/detail/12981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article/detail/12981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2025-06-08T15:27:45Z</dcterms:created>
  <dcterms:modified xsi:type="dcterms:W3CDTF">2025-06-08T15:27:45Z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