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213bad9208393c5117493d4fb88459c50f63de"/>
    <w:p>
      <w:pPr>
        <w:pStyle w:val="Heading3"/>
      </w:pPr>
      <w:r>
        <w:t xml:space="preserve">Прокурор ЮЗАО г. Москвы разъясняет "Утверждены правила предоставления и оплаты услуг по саноторно-курортному лечению, а также медицинской реабилитации СВО"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bcd/bcd707f7bfceb249cc6e530ac43c946b/14.-PROKURATURA-YUZ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892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4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9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039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uzino.mos.ru/www/95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0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http://zuzino.mos.ru/presscenter/article/detail/12981474.html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Зюзино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zuzino.mos.ru" TargetMode="External" /><Relationship Type="http://schemas.openxmlformats.org/officeDocument/2006/relationships/hyperlink" Id="rId29" Target="http://zuzino.mos.ru/presscenter/article/detail/1298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uzino.mos.ru" TargetMode="External" /><Relationship Type="http://schemas.openxmlformats.org/officeDocument/2006/relationships/hyperlink" Id="rId29" Target="http://zuzino.mos.ru/presscenter/article/detail/1298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2025-06-18T02:42:34Z</dcterms:created>
  <dcterms:modified xsi:type="dcterms:W3CDTF">2025-06-18T02:42:34Z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