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18553a1c501db7ec44915b31478f9aff67b3fc"/>
    <w:p>
      <w:pPr>
        <w:pStyle w:val="Heading3"/>
      </w:pPr>
      <w:r>
        <w:t xml:space="preserve">После вмешательства Зюзинской межрайонной прокуратуры г. Москвы устранены нарушения антикоррупционного законодательства.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drawing>
          <wp:inline>
            <wp:extent cx="508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973/973004295a0398e111bb3c8c91aa8b59/Zyuzinskaya-prokuratu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3" w:name="Xf1587d0a2bf7b115f20d45728000f318824b594"/>
      <w:bookmarkEnd w:id="23"/>
      <w:bookmarkStart w:id="24" w:name="Xdec6e78681ea29ea6ce096d1766d7e595ffc148"/>
      <w:r>
        <w:t xml:space="preserve">После вмешательства Зюзинской межрайонной прокуратуры г. Москвы устранены нарушения антикоррупционного законодательства.</w:t>
      </w:r>
      <w:bookmarkEnd w:id="24"/>
    </w:p>
    <w:p>
      <w:pPr>
        <w:pStyle w:val="BodyText"/>
      </w:pPr>
      <w:r>
        <w:t xml:space="preserve">В ходе проведенной проверки установлено, что гражданка в период</w:t>
      </w:r>
      <w:r>
        <w:br/>
      </w:r>
      <w:r>
        <w:t xml:space="preserve">27.08.2019 по 05.04.2024 занимала должность государственной гражданской службы.</w:t>
      </w:r>
    </w:p>
    <w:p>
      <w:pPr>
        <w:pStyle w:val="BodyText"/>
      </w:pPr>
      <w:r>
        <w:t xml:space="preserve">В настоящее время она трудоустроена на основании трудового договора в Обществе на должность супервайзера.</w:t>
      </w:r>
    </w:p>
    <w:p>
      <w:pPr>
        <w:pStyle w:val="BodyText"/>
      </w:pPr>
      <w:r>
        <w:t xml:space="preserve">Согласно требованиям ч. 4 ст. 12 Федерального закона от 25.12.2008</w:t>
      </w:r>
      <w:r>
        <w:br/>
      </w:r>
      <w:r>
        <w:t xml:space="preserve">№ 273-ФЗ «О противодействии коррупции» (далее - Закон № 273-ФЗ) работодатель при заключении трудового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</w:t>
      </w:r>
      <w:r>
        <w:br/>
      </w:r>
      <w:r>
        <w:t xml:space="preserve">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>
      <w:pPr>
        <w:pStyle w:val="BodyText"/>
      </w:pPr>
      <w:r>
        <w:t xml:space="preserve">Аналогичные требования по уведомлению бывшего работодателя изложены и в ст. 64.1 Трудового кодекса Российской Федерации</w:t>
      </w:r>
      <w:r>
        <w:br/>
      </w:r>
      <w:r>
        <w:t xml:space="preserve">(далее - ТК РФ).</w:t>
      </w:r>
    </w:p>
    <w:p>
      <w:pPr>
        <w:pStyle w:val="BodyText"/>
      </w:pPr>
      <w:r>
        <w:t xml:space="preserve">Вместе с тем, Общество сообщение о приеме на работу гражданина, замещавшего ранее должность государственной гражданской службы направлено в адрес бывшего работодателя, направлено почтой России</w:t>
      </w:r>
      <w:r>
        <w:br/>
      </w:r>
      <w:r>
        <w:t xml:space="preserve">с нарушением установленного срока.</w:t>
      </w:r>
    </w:p>
    <w:p>
      <w:pPr>
        <w:pStyle w:val="BodyText"/>
      </w:pPr>
      <w:r>
        <w:t xml:space="preserve">На основании выявленных нарушений юридическое лицо привлечено</w:t>
      </w:r>
      <w:r>
        <w:br/>
      </w:r>
      <w:r>
        <w:t xml:space="preserve">к административной ответственности по ст. 19.29 КоАП РФ, с назначением штрафа в размере 50 000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http://zuzino.mos.ru/presscenter/article/detail/13057596.html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Зюзино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zuzino.mos.ru" TargetMode="External" /><Relationship Type="http://schemas.openxmlformats.org/officeDocument/2006/relationships/hyperlink" Id="rId25" Target="http://zuzino.mos.ru/presscenter/article/detail/13057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uzino.mos.ru" TargetMode="External" /><Relationship Type="http://schemas.openxmlformats.org/officeDocument/2006/relationships/hyperlink" Id="rId25" Target="http://zuzino.mos.ru/presscenter/article/detail/13057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2025-07-28T07:15:33Z</dcterms:created>
  <dcterms:modified xsi:type="dcterms:W3CDTF">2025-07-28T07:15:33Z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