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4bdad7374dae357e1f69f73d29c0d59e746c8"/>
    <w:p>
      <w:pPr>
        <w:pStyle w:val="Heading3"/>
      </w:pPr>
      <w:r>
        <w:t xml:space="preserve">В районный суд направлено исковое заявление в интересах гражданина о взыскании неосновательного обогащения.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drawing>
          <wp:inline>
            <wp:extent cx="5334000" cy="56757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_local/iblock/63f/63f6f33735d64d69684804026ac2a2dc/Emblem_of_the_Office_of_the_Prosecutor_General_of_Russia.sv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75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Прокуратурой Юго-Западного административного округа</w:t>
      </w:r>
      <w:r>
        <w:br/>
      </w:r>
      <w:r>
        <w:t xml:space="preserve">г. Москвы в районный суд в порядке ст. 45 ГПК РФ направлено исковое заявление в интересах гражданина о взыскании неосновательного обогащения.</w:t>
      </w:r>
    </w:p>
    <w:p>
      <w:pPr>
        <w:pStyle w:val="BodyText"/>
      </w:pPr>
      <w:r>
        <w:t xml:space="preserve">В ходе изучения уголовного дела по факту совершения притупления, предусмотренного ч. 3 ст. 159 УК РФ (мошенничество, совершенное группой лиц по предварительному сговору, с причинением ущерба гражданину</w:t>
      </w:r>
      <w:r>
        <w:br/>
      </w:r>
      <w:r>
        <w:t xml:space="preserve">в крупном размере) установлено, что гражданин будучи введенным</w:t>
      </w:r>
      <w:r>
        <w:br/>
      </w:r>
      <w:r>
        <w:t xml:space="preserve">в заблуждение через банкомат внес наличные денежные средства на общую сумму 100 000 руб.</w:t>
      </w:r>
    </w:p>
    <w:p>
      <w:pPr>
        <w:pStyle w:val="BodyText"/>
      </w:pPr>
      <w:r>
        <w:t xml:space="preserve">Органами следствия установлен получатель указанных денежных средств, который распорядился ими по своему усмотрению, причинив гражданину материальный ущерб на сумму 100 000 руб.</w:t>
      </w:r>
    </w:p>
    <w:p>
      <w:pPr>
        <w:pStyle w:val="BodyText"/>
      </w:pPr>
      <w:r>
        <w:t xml:space="preserve">По решению районного суда исковые требования прокурора Юго-Западного административного округа г. Москвы удовлетворены в полном объеме – с получателя денежных средств взыскана сумма неосновательного обогащения в размере 100 000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http://zuzino.mos.ru/presscenter/article/detail/13065214.html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3065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3065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2025-07-16T19:00:38Z</dcterms:created>
  <dcterms:modified xsi:type="dcterms:W3CDTF">2025-07-16T19:00:38Z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