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3b1551106d73e48a550b31c86aa2a35a5ce5"/>
    <w:p>
      <w:pPr>
        <w:pStyle w:val="Heading3"/>
      </w:pPr>
      <w:r>
        <w:t xml:space="preserve">Фонд Архангела Михаила строит храм в районе Зюзино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rPr>
          <w:bCs/>
          <w:b/>
        </w:rPr>
        <w:t xml:space="preserve">Фонд Архангела Михаила способствует возрождению духовно-нравственных ценностей России через строительство и реконструкцию православных храмов. Сейчас при его содействии ведется строительство храмового комплекса в честь патриарха Ермогена на Симферопольском бульваре в районе Зюзино.</w:t>
      </w:r>
    </w:p>
    <w:p>
      <w:pPr>
        <w:pStyle w:val="BodyText"/>
      </w:pPr>
      <w:r>
        <w:t xml:space="preserve">Строящийся комплекс будет состоять из храма в честь Патриарха Ермогена, крестильного храма Святителя Луки (Войко-Ясенецкого) и духовно-просветительского центра для детей и молодежи. Уже сейчас в воскресной школе при временном храме учатся 90 детей.</w:t>
      </w:r>
    </w:p>
    <w:p>
      <w:pPr>
        <w:pStyle w:val="BodyText"/>
      </w:pPr>
      <w:r>
        <w:t xml:space="preserve">За последние семь лет фонд Архангела Михаила реализовал два масштабных проекта: в Москве – храм Покрова Пресвятой Богородицы в Ясеневе, а также храм мученика Трифона в Тульской области. Храмы строятся без государственной поддержки на народные пожертвования и пожертвования частных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http://zuzino.mos.ru/presscenter/article/detail/6690634.html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69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69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2025-02-20T23:36:34Z</dcterms:created>
  <dcterms:modified xsi:type="dcterms:W3CDTF">2025-02-20T23:36:34Z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