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6f8ed64f721bed53d90aa9f480fe66c4b5c1bc"/>
    <w:p>
      <w:pPr>
        <w:pStyle w:val="Heading3"/>
      </w:pPr>
      <w:r>
        <w:t xml:space="preserve">Требования безопасности, предъявляемые к учебным изданиям, ученическим портфелям и ранцам для детей и подростков</w:t>
      </w:r>
    </w:p>
    <w:p>
      <w:pPr>
        <w:pStyle w:val="FirstParagraph"/>
      </w:pPr>
      <w:r>
        <w:t xml:space="preserve">04.09.2017</w:t>
      </w:r>
    </w:p>
    <w:p>
      <w:pPr>
        <w:pStyle w:val="BodyText"/>
      </w:pPr>
      <w:r>
        <w:rPr>
          <w:bCs/>
          <w:b/>
        </w:rPr>
        <w:t xml:space="preserve">Указанные требования установлены положениями Закона Российской Федерации от 07.02.1992 № 2300-1 «О защите прав потребителей», технического регламента Таможенного союза «О безопасности продукции, предназначенной для детей и подростков» (ТР ТС 007/2011).</w:t>
      </w:r>
    </w:p>
    <w:p>
      <w:pPr>
        <w:pStyle w:val="BodyText"/>
      </w:pPr>
      <w:r>
        <w:rPr>
          <w:u w:val="single"/>
        </w:rPr>
        <w:t xml:space="preserve">Учебная литература</w:t>
      </w:r>
      <w:r>
        <w:t xml:space="preserve"> </w:t>
      </w:r>
      <w:r>
        <w:t xml:space="preserve">должна выполнять не только свои прямые задачи, но и обеспечивать сохранение здоровья подрастающего поколения.Основные требования к учебным изданиям касаются непосредственно качества бумаги, печати, переплета и формата, а также соответствия веса изданий функциональным возможностям организма учащихся.</w:t>
      </w:r>
    </w:p>
    <w:p>
      <w:pPr>
        <w:pStyle w:val="BodyText"/>
      </w:pPr>
      <w:r>
        <w:t xml:space="preserve">Самые высокие требования предъявляются к качеству учебных изданий для детей дошкольного и младшего школьного возраста, что связано с особенностями развития ребенка и его нервной системы.</w:t>
      </w:r>
    </w:p>
    <w:p>
      <w:pPr>
        <w:pStyle w:val="BodyText"/>
      </w:pPr>
      <w:r>
        <w:t xml:space="preserve">Издательская продукция должна соответствовать требованиям химической безопасности и не должна выделять вредные вещества, такие как: фенол, формальдегид, свинец, цинк, мышьяк, хром (содержание данных веществ не должно превышать минимальных значений, установленных техническим регламентом «О безопасности продукции, предназначенной для детей и подростков»).</w:t>
      </w:r>
    </w:p>
    <w:p>
      <w:pPr>
        <w:pStyle w:val="BodyText"/>
      </w:pPr>
      <w:r>
        <w:t xml:space="preserve">В справочных изданиях и изданиях для досуга при печати цветными красками на цветном фоне кегль шрифта должен быть не менее 20 пунктов, объем текста – не более 200 знаков.</w:t>
      </w:r>
    </w:p>
    <w:p>
      <w:pPr>
        <w:pStyle w:val="BodyText"/>
      </w:pPr>
      <w:r>
        <w:t xml:space="preserve">В раскрасках для детей дошкольного возраста минимальный линейный размер элементов рисунка должен быть не менее 5 мм. Для изготовления издательской продукции не допускается применение газетной бумаги, кроме издательской продукции, не предназначенной для повторного использования (экзаменационные билеты, карточки с заданиями, тестовые задания, кроссворды и другие). В издательской продукции для дошкольного и младшего школьного возраста пробел между словами должен быть равен кеглю шрифта.</w:t>
      </w:r>
    </w:p>
    <w:p>
      <w:pPr>
        <w:pStyle w:val="BodyText"/>
      </w:pPr>
      <w:r>
        <w:t xml:space="preserve">В зависимости от различных возрастных групп, предъявляются различные требования и к весу школьных учебников (не допускается превышение указанных ниже нормативов):</w:t>
      </w:r>
    </w:p>
    <w:p>
      <w:pPr>
        <w:pStyle w:val="BodyText"/>
      </w:pPr>
      <w:r>
        <w:t xml:space="preserve">· 300г для 1 – 4 классов;</w:t>
      </w:r>
    </w:p>
    <w:p>
      <w:pPr>
        <w:pStyle w:val="BodyText"/>
      </w:pPr>
      <w:r>
        <w:t xml:space="preserve">· 400г для 5 – 6 классов;</w:t>
      </w:r>
    </w:p>
    <w:p>
      <w:pPr>
        <w:pStyle w:val="BodyText"/>
      </w:pPr>
      <w:r>
        <w:t xml:space="preserve">· 500г для 7 – 9 классов;</w:t>
      </w:r>
    </w:p>
    <w:p>
      <w:pPr>
        <w:pStyle w:val="BodyText"/>
      </w:pPr>
      <w:r>
        <w:t xml:space="preserve">· 600г для 10 – 11 классов.</w:t>
      </w:r>
    </w:p>
    <w:p>
      <w:pPr>
        <w:pStyle w:val="BodyText"/>
      </w:pPr>
      <w:r>
        <w:t xml:space="preserve">Важным элементом является выбор</w:t>
      </w:r>
      <w:r>
        <w:t xml:space="preserve"> </w:t>
      </w:r>
      <w:r>
        <w:rPr>
          <w:u w:val="single"/>
        </w:rPr>
        <w:t xml:space="preserve">ученического портфеля или ранца</w:t>
      </w:r>
      <w:r>
        <w:t xml:space="preserve">, соответствующего установленным требованиям.Основные требования касаются веса, формы, размера, ученических ранцев. Изделия должны соответствовать требованиям биологической и механической безопасности.</w:t>
      </w:r>
    </w:p>
    <w:p>
      <w:pPr>
        <w:pStyle w:val="BodyText"/>
      </w:pPr>
      <w:r>
        <w:t xml:space="preserve">Маркировка ученических ранцев, портфелей и рюкзаков должна содержать информацию о возрасте пользователя. Ученические ранцы для детей младшего школьного возраста должны быть снабжены формоустойчивой спинкой, обеспечивающей его полное прилегание к спине ребенка и равномерное распределение веса.</w:t>
      </w:r>
    </w:p>
    <w:p>
      <w:pPr>
        <w:pStyle w:val="BodyText"/>
      </w:pPr>
      <w:r>
        <w:t xml:space="preserve">Вес портфелей, школьных ранцев и аналогичных изделий без учебников должен быть различным в зависимости от возрастных групп. Так для обучающихся начальных классов вес не должен составлять более 700 грамм, а для обучающихся средних и старших классов – не более 1000 грамм.</w:t>
      </w:r>
    </w:p>
    <w:p>
      <w:pPr>
        <w:pStyle w:val="BodyText"/>
      </w:pPr>
      <w:r>
        <w:t xml:space="preserve">Размеры изделий для учащихся начальных классов должны быть следующие:</w:t>
      </w:r>
    </w:p>
    <w:p>
      <w:pPr>
        <w:pStyle w:val="BodyText"/>
      </w:pPr>
      <w:r>
        <w:t xml:space="preserve">· длина (высота) – 300 – 360 мм;</w:t>
      </w:r>
    </w:p>
    <w:p>
      <w:pPr>
        <w:pStyle w:val="BodyText"/>
      </w:pPr>
      <w:r>
        <w:t xml:space="preserve">· высота передней стенки – 220-260 мм;</w:t>
      </w:r>
    </w:p>
    <w:p>
      <w:pPr>
        <w:pStyle w:val="BodyText"/>
      </w:pPr>
      <w:r>
        <w:t xml:space="preserve">· ширина – 60-100 мм;</w:t>
      </w:r>
    </w:p>
    <w:p>
      <w:pPr>
        <w:pStyle w:val="BodyText"/>
      </w:pPr>
      <w:r>
        <w:t xml:space="preserve">· длина плечевого ремня – не менее 600 – 700 мм;</w:t>
      </w:r>
    </w:p>
    <w:p>
      <w:pPr>
        <w:pStyle w:val="BodyText"/>
      </w:pPr>
      <w:r>
        <w:t xml:space="preserve">· ширина плечевого ремня в верхней части (на протяжении 400- 450 мм) – не менее 35-40 мм. Допускается увеличение размеров не более чем на 30 мм.</w:t>
      </w:r>
    </w:p>
    <w:p>
      <w:pPr>
        <w:pStyle w:val="BodyText"/>
      </w:pPr>
      <w:r>
        <w:t xml:space="preserve">Помимо прочего ученические портфели и ранцы должны иметь детали и (или) фурнитуру со светоотражающими элементами на передних, боковых поверхностях и верхнем клапане, а также изготавливаться из материалов контрастных цветов.</w:t>
      </w:r>
    </w:p>
    <w:p>
      <w:pPr>
        <w:pStyle w:val="BodyText"/>
      </w:pPr>
      <w:bookmarkStart w:id="20" w:name="X1207a264b4c9f4df21fde20366a046b31aef217"/>
      <w:bookmarkEnd w:id="20"/>
    </w:p>
    <w:p>
      <w:pPr>
        <w:pStyle w:val="BodyText"/>
      </w:pPr>
      <w:r>
        <w:t xml:space="preserve">При покупке любых товаров детского ассортимента необходимо изучить информацию о товаре, размещенную на маркировке, и при возникновении сомнений запросить у продавца документы, подтверждающие качество и безопасность реализуемого товара.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http://zuzino.mos.ru/presscenter/article/detail/6831468.html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article/detail/6831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article/detail/6831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2025-06-02T21:39:45Z</dcterms:created>
  <dcterms:modified xsi:type="dcterms:W3CDTF">2025-06-02T21:39:45Z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