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a3181b7004b84d615d587f1ab4f3a4feafa6"/>
    <w:p>
      <w:pPr>
        <w:pStyle w:val="Heading3"/>
      </w:pPr>
      <w:r>
        <w:t xml:space="preserve">Мосжилинспекция о переустройстве и перепланировке квартир</w:t>
      </w:r>
    </w:p>
    <w:p>
      <w:pPr>
        <w:pStyle w:val="FirstParagraph"/>
      </w:pPr>
      <w:r>
        <w:t xml:space="preserve">20.10.2017</w:t>
      </w:r>
    </w:p>
    <w:p>
      <w:pPr>
        <w:pStyle w:val="BodyText"/>
      </w:pPr>
      <w:r>
        <w:rPr>
          <w:bCs/>
          <w:b/>
        </w:rPr>
        <w:t xml:space="preserve">Вы решили сделать переустройство и перепланировку квартиры и обратились в проектную организацию. Проектировщик разработал техническое заключение и проект. При получении технического заключения и проекта у проектировщика Мосжилинспекция рекомендует обратить внимнеие:</w:t>
      </w:r>
    </w:p>
    <w:p>
      <w:pPr>
        <w:pStyle w:val="BodyText"/>
      </w:pPr>
      <w:r>
        <w:t xml:space="preserve">В проектной документации и техническом заключении должны быть ссылки на действующие своды правил. Так, в частности, проектные организации продолжают указыватьпроекте и техническом заключении ссылки на нормативные документы, которые уже актуализированы например: СНиП 2.03.13-88 "Полы" актуализирован СП 29.13330.2011, СНиП 31-01-2003 "Здания жилые многоквартирные" актуализирован СП 54.13330.2016 "Здания жилые многоквартирные".</w:t>
      </w:r>
    </w:p>
    <w:p>
      <w:pPr>
        <w:pStyle w:val="BodyText"/>
      </w:pPr>
      <w:r>
        <w:t xml:space="preserve">Ссылка на недействующие своды правил является основанием для отказа в предоставлении государственной услуги по согласованию переустройства и перепланировке жилых и не жилых помещений в жилых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http://zuzino.mos.ru/presscenter/article/detail/6929950.html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929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929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2025-06-09T02:01:20Z</dcterms:created>
  <dcterms:modified xsi:type="dcterms:W3CDTF">2025-06-09T02:01:20Z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