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83536b07c70a66ec7a20055b2dd8b96516cbd5"/>
    <w:p>
      <w:pPr>
        <w:pStyle w:val="Heading3"/>
      </w:pPr>
      <w:r>
        <w:t xml:space="preserve">Отслеживать появление налоговой задолженности можно через портал госуслуг, октябрь 2018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t xml:space="preserve">Единый портал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предоставляет своим пользователям возможность получать уведомления о появлении налоговой задолженности через «Личный кабинет» на сайте. Для этого налогоплательщику в своем профиле следует указать ИНН.</w:t>
      </w:r>
    </w:p>
    <w:p>
      <w:pPr>
        <w:pStyle w:val="BodyText"/>
      </w:pPr>
      <w:r>
        <w:t xml:space="preserve">В случае образования задолженности при несвоевременной оплате налога, штрафа или сбора, уведомление о ней появится в «Личном кабинете» пользователя.</w:t>
      </w:r>
    </w:p>
    <w:p>
      <w:pPr>
        <w:pStyle w:val="BodyText"/>
      </w:pPr>
      <w:r>
        <w:t xml:space="preserve">Если гражданин имеет на портале госуслуг подтвержденную учетную запись, то он сможет и оплатить налоговую задолженность через сайт.</w:t>
      </w:r>
    </w:p>
    <w:p>
      <w:pPr>
        <w:pStyle w:val="BodyText"/>
      </w:pPr>
      <w:r>
        <w:t xml:space="preserve">Подтвержденная учетная запись создается сразу при регистрации пользователя в одном из мест присутствия операторов Единой систем идентификации и аутентификации (отделения почты России, Ростелеком, МФЦ и др.). В этих же центрах при личном обращении можно подтвердить реквизиты доступа пользователям с ранее созданной упрощенной или стандартной учетной записью.</w:t>
      </w:r>
    </w:p>
    <w:p>
      <w:pPr>
        <w:pStyle w:val="BodyText"/>
      </w:pPr>
      <w:r>
        <w:t xml:space="preserve">Оплата налоговой задолженности осуществляется без комиссии при использовании банковских карт Visaи MasterCard или платёжного сервиса Webmoney. Пользователь портала госуслуг также может распечатать квитанцию и произвести оплату в отделении банка.</w:t>
      </w:r>
    </w:p>
    <w:p>
      <w:pPr>
        <w:pStyle w:val="BodyText"/>
      </w:pPr>
      <w:r>
        <w:br/>
      </w:r>
    </w:p>
    <w:p>
      <w:pPr>
        <w:pStyle w:val="BodyText"/>
      </w:pPr>
      <w:bookmarkStart w:id="21" w:name="bookmark1"/>
      <w:r>
        <w:t xml:space="preserve">Портал госуслуг как универсальное хранилище персональных данных</w:t>
      </w:r>
      <w:bookmarkEnd w:id="21"/>
    </w:p>
    <w:p>
      <w:pPr>
        <w:pStyle w:val="BodyText"/>
      </w:pPr>
      <w:r>
        <w:t xml:space="preserve">Единый портал государственных и муниципальных услуг как способ быстро и без очередей получить необходимые документы уже давно зарекомендовал себя среди граждан своей простотой в использовании, однако наравне со своим прямым назначением его можно также использовать в качестве надежного хранилища персональных сведений.</w:t>
      </w:r>
    </w:p>
    <w:p>
      <w:pPr>
        <w:pStyle w:val="BodyText"/>
      </w:pPr>
      <w:r>
        <w:t xml:space="preserve">Пользователь портала после регистрации сообщает о себе информацию, от полноты которой зависит перечень услуг, доступных к получению дистанционно. Благодаря этим данным портал отслеживает периоды действия тех или иных документов и направляет уведомления об их своевременной замене.</w:t>
      </w:r>
    </w:p>
    <w:p>
      <w:pPr>
        <w:pStyle w:val="BodyText"/>
      </w:pPr>
      <w:r>
        <w:t xml:space="preserve">Так, на портале госуслуг хранится следующая информация о физических лицах: пол; ФИО; дата и место рождения; гражданство; номер мобильного и домашнего телефона; адрес электронной почты; адрес регистрации и адрес фактического проживания; данные СНИЛС и ИНН; данные паспорта; данные водительского удостоверения; данные свидетельства о государственной регистрации транспортного средства и регистрационного знака.</w:t>
      </w:r>
    </w:p>
    <w:p>
      <w:pPr>
        <w:pStyle w:val="BodyText"/>
      </w:pPr>
      <w:r>
        <w:t xml:space="preserve">Внушительный объем сведений предоставляется и о юридических лицах: полное и сокращенное название организации; КПП и ОГРН; организационно</w:t>
      </w:r>
      <w:r>
        <w:softHyphen/>
      </w:r>
      <w:r>
        <w:t xml:space="preserve">правовая форма; контактные данные: почтовый и фактический адрес, адрес электронной почты, номер телефона, факс, данные о транспортных средствах компании.</w:t>
      </w:r>
    </w:p>
    <w:p>
      <w:pPr>
        <w:pStyle w:val="BodyText"/>
      </w:pPr>
      <w:r>
        <w:t xml:space="preserve">Эта информация проходит проверку на достоверность сведений и в дальнейшем передается органам государственной власти для оперативной обработки заявлений пользователей. Но свои преимущества единое хранилище данных дает и гражданам - им не нужно многократно вводить свои данные при формировании обращения в то или иное ведомство. Кроме того, в любой момент они сами могут обратиться к сайту или приложению в поисках нужной им информации.</w:t>
      </w:r>
    </w:p>
    <w:p>
      <w:pPr>
        <w:pStyle w:val="BodyText"/>
      </w:pPr>
      <w:r>
        <w:t xml:space="preserve">Кроме того, система надежно защищает введенные личные данные в соответствии с российским законодательством и пользователи могут быть уверены, что они не окажутся у третьих лиц.</w:t>
      </w:r>
    </w:p>
    <w:p>
      <w:pPr>
        <w:pStyle w:val="BodyText"/>
      </w:pPr>
      <w:r>
        <w:br/>
      </w:r>
    </w:p>
    <w:p>
      <w:pPr>
        <w:pStyle w:val="BodyText"/>
      </w:pPr>
      <w:bookmarkStart w:id="22" w:name="bookmark0"/>
      <w:r>
        <w:t xml:space="preserve">График проведения семинаров с налогоплательщиками на 4_квартал 2018 года ИФНС России № 27</w:t>
      </w:r>
      <w:bookmarkEnd w:id="22"/>
      <w:r>
        <w:t xml:space="preserve"> </w:t>
      </w:r>
      <w:r>
        <w:t xml:space="preserve">по г. Москве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Инспекции</w:t>
            </w:r>
          </w:p>
        </w:tc>
        <w:tc>
          <w:tcPr/>
          <w:p>
            <w:pPr>
              <w:jc w:val="left"/>
            </w:pPr>
            <w:r>
              <w:t xml:space="preserve">Дата и время проведения семинара</w:t>
            </w:r>
          </w:p>
        </w:tc>
        <w:tc>
          <w:tcPr/>
          <w:p>
            <w:pPr>
              <w:jc w:val="left"/>
            </w:pPr>
            <w:r>
              <w:t xml:space="preserve">Тема семинара</w:t>
            </w:r>
          </w:p>
        </w:tc>
        <w:tc>
          <w:tcPr/>
          <w:p>
            <w:pPr>
              <w:jc w:val="left"/>
            </w:pPr>
            <w:r>
              <w:t xml:space="preserve">Место</w:t>
            </w:r>
          </w:p>
          <w:p>
            <w:pPr>
              <w:jc w:val="left"/>
            </w:pPr>
            <w: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t xml:space="preserve">Контактные телефоны для справок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16 октября, 12:00</w:t>
            </w:r>
          </w:p>
        </w:tc>
        <w:tc>
          <w:tcPr/>
          <w:p>
            <w:pPr>
              <w:jc w:val="left"/>
            </w:pPr>
            <w:r>
              <w:t xml:space="preserve">Исчисление и уплата налога на имущество физических лиц. Порядок представления льгот.</w:t>
            </w:r>
          </w:p>
        </w:tc>
        <w:tc>
          <w:tcPr/>
          <w:p>
            <w:pPr>
              <w:jc w:val="left"/>
            </w:pPr>
            <w:r>
              <w:t xml:space="preserve">216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11 октября, 12:00</w:t>
            </w:r>
          </w:p>
        </w:tc>
        <w:tc>
          <w:tcPr/>
          <w:p>
            <w:pPr>
              <w:jc w:val="left"/>
            </w:pPr>
            <w:r>
              <w:t xml:space="preserve">Порядок предоставления налогоплательщиками налоговых деклараций по налогу на добавленную стоимость.</w:t>
            </w:r>
          </w:p>
        </w:tc>
        <w:tc>
          <w:tcPr/>
          <w:p>
            <w:pPr>
              <w:jc w:val="left"/>
            </w:pPr>
            <w:r>
              <w:t xml:space="preserve">203 к</w:t>
            </w:r>
          </w:p>
        </w:tc>
        <w:tc>
          <w:tcPr/>
          <w:p>
            <w:pPr>
              <w:jc w:val="left"/>
            </w:pPr>
            <w:r>
              <w:t xml:space="preserve">1 / / “ L3HTBJ10BB</w:t>
            </w:r>
          </w:p>
          <w:p>
            <w:pPr>
              <w:jc w:val="left"/>
            </w:pPr>
            <w:r>
              <w:t xml:space="preserve">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23 ноября 12:00</w:t>
            </w:r>
          </w:p>
        </w:tc>
        <w:tc>
          <w:tcPr/>
          <w:p>
            <w:pPr>
              <w:jc w:val="left"/>
            </w:pPr>
            <w:r>
              <w:t xml:space="preserve">Упрощённая система налогообложения .Порядок заполнения налоговых декларации.</w:t>
            </w:r>
          </w:p>
        </w:tc>
        <w:tc>
          <w:tcPr/>
          <w:p>
            <w:pPr>
              <w:jc w:val="left"/>
            </w:pPr>
            <w:r>
              <w:t xml:space="preserve">506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9,16,23,30 октября , 6,13,20,27 ноября, 4,11,18,25 декабря 10:00</w:t>
            </w:r>
          </w:p>
        </w:tc>
        <w:tc>
          <w:tcPr/>
          <w:p>
            <w:pPr>
              <w:jc w:val="left"/>
            </w:pPr>
            <w:r>
              <w:t xml:space="preserve">Актуальные вопросы действующего законодательства в сфере ККТ.</w:t>
            </w:r>
          </w:p>
        </w:tc>
        <w:tc>
          <w:tcPr/>
          <w:p>
            <w:pPr>
              <w:jc w:val="left"/>
            </w:pPr>
            <w:r>
              <w:t xml:space="preserve">103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24 октября, 12:00</w:t>
            </w:r>
          </w:p>
        </w:tc>
        <w:tc>
          <w:tcPr/>
          <w:p>
            <w:pPr>
              <w:jc w:val="left"/>
            </w:pPr>
            <w:r>
              <w:t xml:space="preserve">Порядок оформления платежных документов на уплату налога.</w:t>
            </w:r>
          </w:p>
        </w:tc>
        <w:tc>
          <w:tcPr/>
          <w:p>
            <w:pPr>
              <w:jc w:val="left"/>
            </w:pPr>
            <w:r>
              <w:t xml:space="preserve">405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5 октября , 12:00</w:t>
            </w:r>
          </w:p>
        </w:tc>
        <w:tc>
          <w:tcPr/>
          <w:p>
            <w:pPr>
              <w:jc w:val="left"/>
            </w:pPr>
            <w:r>
              <w:t xml:space="preserve">Порядок рассмотрения вопросов полноты уплаты предприятиями и организациями налогов , обоснованности убытков от финансово-хозяйственной деятельности.</w:t>
            </w:r>
          </w:p>
        </w:tc>
        <w:tc>
          <w:tcPr/>
          <w:p>
            <w:pPr>
              <w:jc w:val="left"/>
            </w:pPr>
            <w:r>
              <w:t xml:space="preserve">302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14 ноября, 12:00</w:t>
            </w:r>
          </w:p>
        </w:tc>
        <w:tc>
          <w:tcPr/>
          <w:p>
            <w:pPr>
              <w:jc w:val="left"/>
            </w:pPr>
            <w:r>
              <w:t xml:space="preserve">О наиболее часто допускаемых нарушениях налогоплательщиками при исчислении налога на имущество и заполнении декларации по налогу на имущество ( юр.лиц).</w:t>
            </w:r>
          </w:p>
        </w:tc>
        <w:tc>
          <w:tcPr/>
          <w:p>
            <w:pPr>
              <w:jc w:val="left"/>
            </w:pPr>
            <w:r>
              <w:t xml:space="preserve">303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28 ноября, 12:00</w:t>
            </w:r>
          </w:p>
        </w:tc>
        <w:tc>
          <w:tcPr/>
          <w:p>
            <w:pPr>
              <w:jc w:val="left"/>
            </w:pPr>
            <w:r>
              <w:t xml:space="preserve">О наиболее часто допускаемых нарушениях налогоплательщиками при исчислении налога на прибыль и заполнении декларации по налогу на прибыль.</w:t>
            </w:r>
          </w:p>
        </w:tc>
        <w:tc>
          <w:tcPr/>
          <w:p>
            <w:pPr>
              <w:jc w:val="left"/>
            </w:pPr>
            <w:r>
              <w:t xml:space="preserve">302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23 ноября, 12:00</w:t>
            </w:r>
          </w:p>
        </w:tc>
        <w:tc>
          <w:tcPr/>
          <w:p>
            <w:pPr>
              <w:jc w:val="left"/>
            </w:pPr>
            <w:r>
              <w:t xml:space="preserve">Порядок предоставления налогоплательщиками (физ.лицамн) налоговых вычетов.</w:t>
            </w:r>
          </w:p>
        </w:tc>
        <w:tc>
          <w:tcPr/>
          <w:p>
            <w:pPr>
              <w:jc w:val="left"/>
            </w:pPr>
            <w:r>
              <w:t xml:space="preserve">317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14 ноября, 12:00</w:t>
            </w:r>
          </w:p>
        </w:tc>
        <w:tc>
          <w:tcPr/>
          <w:p>
            <w:pPr>
              <w:jc w:val="left"/>
            </w:pPr>
            <w:r>
              <w:t xml:space="preserve">Исчисления и уплата транспортного налога для физических лиц.</w:t>
            </w:r>
          </w:p>
        </w:tc>
        <w:tc>
          <w:tcPr/>
          <w:p>
            <w:pPr>
              <w:jc w:val="left"/>
            </w:pPr>
            <w:r>
              <w:t xml:space="preserve">216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Порядок предоставления льгот.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16 ноября , 12:00</w:t>
            </w:r>
          </w:p>
        </w:tc>
        <w:tc>
          <w:tcPr/>
          <w:p>
            <w:pPr>
              <w:jc w:val="left"/>
            </w:pPr>
            <w:r>
              <w:t xml:space="preserve">Новый порядок расчета налога на имущество физических лиц исходя из кадастровой стоимости.</w:t>
            </w:r>
          </w:p>
        </w:tc>
        <w:tc>
          <w:tcPr/>
          <w:p>
            <w:pPr>
              <w:jc w:val="left"/>
            </w:pPr>
            <w:r>
              <w:t xml:space="preserve">216к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3 октября, 13 ноября ,18 декабря 12:00</w:t>
            </w:r>
          </w:p>
        </w:tc>
        <w:tc>
          <w:tcPr/>
          <w:p>
            <w:pPr>
              <w:jc w:val="left"/>
            </w:pPr>
            <w:r>
              <w:t xml:space="preserve">Электронные сервисы ФПС России: "Калькулятор земельного налога и налога на имущество физических лиц, исчисляемых исходя из кадастровой стоимости"</w:t>
            </w:r>
          </w:p>
        </w:tc>
        <w:tc>
          <w:tcPr/>
          <w:p>
            <w:pPr>
              <w:jc w:val="left"/>
            </w:pPr>
            <w:r>
              <w:t xml:space="preserve">216к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26 октября, 7 ноября, 6 декабря 12:00</w:t>
            </w:r>
          </w:p>
        </w:tc>
        <w:tc>
          <w:tcPr/>
          <w:p>
            <w:pPr>
              <w:jc w:val="left"/>
            </w:pPr>
            <w:r>
              <w:t xml:space="preserve">Электронные сервисы ФИС России:"Справочная информация о ставках и льготах по имущественным налогам"</w:t>
            </w:r>
          </w:p>
        </w:tc>
        <w:tc>
          <w:tcPr/>
          <w:p>
            <w:pPr>
              <w:jc w:val="left"/>
            </w:pPr>
            <w:r>
              <w:t xml:space="preserve">216к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30 ноября, 12:00</w:t>
            </w:r>
          </w:p>
        </w:tc>
        <w:tc>
          <w:tcPr/>
          <w:p>
            <w:pPr>
              <w:jc w:val="left"/>
            </w:pPr>
            <w:r>
              <w:t xml:space="preserve">Электронные сервисы ФЫС России:"Сроки направления налоговых уведомлений"</w:t>
            </w:r>
          </w:p>
        </w:tc>
        <w:tc>
          <w:tcPr/>
          <w:p>
            <w:pPr>
              <w:jc w:val="left"/>
            </w:pPr>
            <w:r>
              <w:t xml:space="preserve">216к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7 декабря ,12:00</w:t>
            </w:r>
          </w:p>
        </w:tc>
        <w:tc>
          <w:tcPr/>
          <w:p>
            <w:pPr>
              <w:jc w:val="left"/>
            </w:pPr>
            <w:r>
              <w:t xml:space="preserve">Электронные сервисы ФНС России:"Личный кабинет налогоплательщика для физических лиц"</w:t>
            </w:r>
          </w:p>
        </w:tc>
        <w:tc>
          <w:tcPr/>
          <w:p>
            <w:pPr>
              <w:jc w:val="left"/>
            </w:pPr>
            <w:r>
              <w:t xml:space="preserve">218к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11,25 октября, 7,15 ноября, 5,13 декабря 12:00</w:t>
            </w:r>
          </w:p>
        </w:tc>
        <w:tc>
          <w:tcPr/>
          <w:p>
            <w:pPr>
              <w:jc w:val="left"/>
            </w:pPr>
            <w:r>
              <w:t xml:space="preserve">Порядок предоставления бухгалтерской и налоговой отчетности в электронном виде по телекоммуникационным каналам связи .(со специализированным оператором связи).</w:t>
            </w:r>
          </w:p>
        </w:tc>
        <w:tc>
          <w:tcPr/>
          <w:p>
            <w:pPr>
              <w:jc w:val="left"/>
            </w:pPr>
            <w:r>
              <w:t xml:space="preserve">203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19 декабря, 12:00</w:t>
            </w:r>
          </w:p>
        </w:tc>
        <w:tc>
          <w:tcPr/>
          <w:p>
            <w:pPr>
              <w:jc w:val="left"/>
            </w:pPr>
            <w:r>
              <w:t xml:space="preserve">Порядок применения нулевой ставки по косвенным налогам при экспорте товаров в Республику Беларусь.</w:t>
            </w:r>
          </w:p>
        </w:tc>
        <w:tc>
          <w:tcPr/>
          <w:p>
            <w:pPr>
              <w:jc w:val="left"/>
            </w:pPr>
            <w:r>
              <w:t xml:space="preserve">304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23 ноября, 12:00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Порядок заполнения индивидуальными предпринимателями налоговой декларации по ф.З-НДФЛ за 2017 г.</w:t>
            </w:r>
          </w:p>
        </w:tc>
        <w:tc>
          <w:tcPr/>
          <w:p>
            <w:pPr>
              <w:jc w:val="left"/>
            </w:pPr>
            <w:r>
              <w:t xml:space="preserve">317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1,3,8,10,15,17,22,24,29,3 1 октября 5,7,12,14,19,21,26,28 ноября 3,5,10,12,17,19,24,26,31 декабря 12:00</w:t>
            </w:r>
          </w:p>
        </w:tc>
        <w:tc>
          <w:tcPr/>
          <w:p>
            <w:pPr>
              <w:jc w:val="left"/>
            </w:pPr>
            <w:r>
              <w:t xml:space="preserve">Преимущества сдачи по ТКС.</w:t>
            </w:r>
          </w:p>
        </w:tc>
        <w:tc>
          <w:tcPr/>
          <w:p>
            <w:pPr>
              <w:jc w:val="left"/>
            </w:pPr>
            <w:r>
              <w:t xml:space="preserve">218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19,26 октября, 14,28 ноября, 19,28 декабря 10:00</w:t>
            </w:r>
          </w:p>
        </w:tc>
        <w:tc>
          <w:tcPr/>
          <w:p>
            <w:pPr>
              <w:jc w:val="left"/>
            </w:pPr>
            <w:r>
              <w:t xml:space="preserve">Ознакомление с интерактивными сервисами ФНС России. Преимущества получения государственных слуг ФНС России в электронном виде, в том числе с использованием портала госуслуг.</w:t>
            </w:r>
          </w:p>
        </w:tc>
        <w:tc>
          <w:tcPr/>
          <w:p>
            <w:pPr>
              <w:jc w:val="left"/>
            </w:pPr>
            <w:r>
              <w:t xml:space="preserve">218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9,16,23,30 октября , 6,13,20,27 ноября, 4,11,18,25 декабря 10:00</w:t>
            </w:r>
          </w:p>
        </w:tc>
        <w:tc>
          <w:tcPr/>
          <w:p>
            <w:pPr>
              <w:jc w:val="left"/>
            </w:pPr>
            <w:r>
              <w:t xml:space="preserve">U применении контрольно-кассовои техники при осуществлении различных денежных расчетов и (или) расчетов с использованием платежных карт</w:t>
            </w:r>
          </w:p>
        </w:tc>
        <w:tc>
          <w:tcPr/>
          <w:p>
            <w:pPr>
              <w:jc w:val="left"/>
            </w:pPr>
            <w:r>
              <w:t xml:space="preserve">103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9,16,23,30 октября , 6,13,20,27 ноября, 4,11,18,25 декабря 10:30</w:t>
            </w:r>
          </w:p>
        </w:tc>
        <w:tc>
          <w:tcPr/>
          <w:p>
            <w:pPr>
              <w:jc w:val="left"/>
            </w:pPr>
            <w:r>
              <w:t xml:space="preserve">О выгодах нового порядка применения ККТ;</w:t>
            </w:r>
          </w:p>
          <w:p>
            <w:pPr>
              <w:jc w:val="left"/>
            </w:pPr>
            <w:r>
              <w:t xml:space="preserve">- мониторинга существующих цен на ККТ и фискальные накопители, а также на связь для ККТ в регионе;</w:t>
            </w:r>
          </w:p>
          <w:p>
            <w:pPr>
              <w:jc w:val="left"/>
            </w:pPr>
            <w:r>
              <w:t xml:space="preserve">- логистики поставок ККТ;</w:t>
            </w:r>
          </w:p>
          <w:p>
            <w:pPr>
              <w:jc w:val="left"/>
            </w:pPr>
            <w:r>
              <w:t xml:space="preserve">- порядка регистрации ККТ;</w:t>
            </w:r>
          </w:p>
          <w:p>
            <w:pPr>
              <w:jc w:val="left"/>
            </w:pPr>
            <w:r>
              <w:t xml:space="preserve">- порядка действий в случае злоупотребления центрами технического обслуживания свОим положением.</w:t>
            </w:r>
          </w:p>
        </w:tc>
        <w:tc>
          <w:tcPr/>
          <w:p>
            <w:pPr>
              <w:jc w:val="left"/>
            </w:pPr>
            <w:r>
              <w:t xml:space="preserve">103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27 ноября, 12:00</w:t>
            </w:r>
          </w:p>
        </w:tc>
        <w:tc>
          <w:tcPr/>
          <w:p>
            <w:pPr>
              <w:jc w:val="left"/>
            </w:pPr>
            <w:r>
              <w:t xml:space="preserve">Патентная система налогообложения индивидуальных пред пр и н н м ател е й</w:t>
            </w:r>
          </w:p>
        </w:tc>
        <w:tc>
          <w:tcPr/>
          <w:p>
            <w:pPr>
              <w:jc w:val="left"/>
            </w:pPr>
            <w:r>
              <w:t xml:space="preserve">506к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7727</w:t>
            </w:r>
          </w:p>
        </w:tc>
        <w:tc>
          <w:tcPr/>
          <w:p>
            <w:pPr>
              <w:jc w:val="left"/>
            </w:pPr>
            <w:r>
              <w:t xml:space="preserve">1.3.8.10.15.17.22.24.29.31 октября 5,7,12,14,19,21,26,28 ноября</w:t>
            </w:r>
          </w:p>
          <w:p>
            <w:pPr>
              <w:jc w:val="left"/>
            </w:pPr>
            <w:r>
              <w:t xml:space="preserve">3.5.10.12.17.19.24.26.31 декабря 12:00</w:t>
            </w:r>
          </w:p>
        </w:tc>
        <w:tc>
          <w:tcPr/>
          <w:p>
            <w:pPr>
              <w:jc w:val="left"/>
            </w:pPr>
            <w:r>
              <w:t xml:space="preserve">Предоставление отчётности на бумажных носителях с двухмерным штрих-кодом (21ИК).</w:t>
            </w:r>
          </w:p>
        </w:tc>
        <w:tc>
          <w:tcPr/>
          <w:p>
            <w:pPr>
              <w:jc w:val="left"/>
            </w:pPr>
            <w:r>
              <w:t xml:space="preserve">203 к</w:t>
            </w:r>
          </w:p>
        </w:tc>
        <w:tc>
          <w:tcPr/>
          <w:p>
            <w:pPr>
              <w:jc w:val="left"/>
            </w:pPr>
            <w:r>
              <w:t xml:space="preserve">15-377 - Санталова Елизавета Юрьевна</w:t>
            </w:r>
          </w:p>
        </w:tc>
      </w:tr>
    </w:tbl>
    <w:p>
      <w:pPr>
        <w:pStyle w:val="BodyText"/>
      </w:pPr>
      <w:bookmarkStart w:id="23" w:name="bookmark1"/>
      <w:r>
        <w:t xml:space="preserve">Желающие принять участие в семинаре , просьба связаться с Санталовой Елизаветой Юрьевной по телефону 8-495-400-24-17.</w:t>
      </w:r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http://zuzino.mos.ru/presscenter/article/detail/7616897.html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7616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gosuslugi.ru/" TargetMode="External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7616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2025-02-22T04:32:20Z</dcterms:created>
  <dcterms:modified xsi:type="dcterms:W3CDTF">2025-02-22T04:32:20Z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