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ъявление"/>
    <w:p>
      <w:pPr>
        <w:pStyle w:val="Heading3"/>
      </w:pPr>
      <w:r>
        <w:t xml:space="preserve">Объявление</w:t>
      </w:r>
    </w:p>
    <w:p>
      <w:pPr>
        <w:pStyle w:val="FirstParagraph"/>
      </w:pPr>
      <w:r>
        <w:t xml:space="preserve">25.10.2018</w:t>
      </w:r>
    </w:p>
    <w:p>
      <w:pPr>
        <w:pStyle w:val="BodyText"/>
      </w:pPr>
      <w:r>
        <w:t xml:space="preserve">В отделе (объединенного) военного комиссариата г. Москвы в ЮЗАО по Академическому району проводится отбор кандидатов военную службу по контракту.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в/ч 02511 п. Каменка Ленинградская область мотострелковый полк;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в/ч 31134 п. Алабино Московская область мотострелковый полк;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в/ч 61899 г. Москва мотострелковый полк;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в/ч 06017 г. Балтийск Калининградская область морская пехота;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в/ч 31985 г. Наро-Фоминск Московская область танковый полк;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в/ч 06414 г. Калининград мотострелковый полк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в/ч90151 г. Гусев, Калининградская область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http://zuzino.mos.ru/presscenter/article/detail/7657212.html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657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657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2024-12-31T03:19:09Z</dcterms:created>
  <dcterms:modified xsi:type="dcterms:W3CDTF">2024-12-31T03:19:09Z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