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317e153d41a0a5f3c807a5c580667e8c04fcd"/>
    <w:p>
      <w:pPr>
        <w:pStyle w:val="Heading3"/>
      </w:pPr>
      <w:r>
        <w:t xml:space="preserve">Жителям Зюзина посоветовали подборку книг русских классиков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rPr>
          <w:bCs/>
          <w:b/>
        </w:rPr>
        <w:t xml:space="preserve">Страшные рассказы, мистические повести и романы — подобные фантастические произведения русских классиков могут прочитать жители района Зюзино.</w:t>
      </w:r>
    </w:p>
    <w:p>
      <w:pPr>
        <w:pStyle w:val="BodyText"/>
      </w:pPr>
      <w:r>
        <w:t xml:space="preserve">В подборку вошел сборник Николая Гоголя «Вечера на хуторе близ Диканьки», рассказывающий о таинственных событиях в украинском селе, рассказ «Бежин луг», который был вдохновлен русским фольклором. Также можно прочитать повести Александра Пушкина «Гробовщик» и «Пиковая дама», «Портрет» Гоголя и «Лафертовская маковница» Антония Погорельского.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http://zuzino.mos.ru/presscenter/news/detail/10060236.html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0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0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2025-06-15T06:10:26Z</dcterms:created>
  <dcterms:modified xsi:type="dcterms:W3CDTF">2025-06-15T06:10:26Z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