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dc1cd15cd907827e805b45474db40202b78dd2"/>
    <w:p>
      <w:pPr>
        <w:pStyle w:val="Heading3"/>
      </w:pPr>
      <w:r>
        <w:t xml:space="preserve">Инновационные предприятия Москвы получат налоговые льготы</w:t>
      </w:r>
    </w:p>
    <w:p>
      <w:pPr>
        <w:pStyle w:val="FirstParagraph"/>
      </w:pPr>
      <w:r>
        <w:t xml:space="preserve">21.07.2017</w:t>
      </w:r>
    </w:p>
    <w:p>
      <w:pPr>
        <w:pStyle w:val="BodyText"/>
      </w:pPr>
      <w:r>
        <w:drawing>
          <wp:inline>
            <wp:extent cx="5334000" cy="31201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1ac/sssprezidiu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0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Инвесторы, вкладывающие деньги в реальный сектор экономики и инновации, получат налоговые льготы. Два новых закона </w:t>
      </w:r>
      <w:hyperlink r:id="rId23">
        <w:r>
          <w:rPr>
            <w:rStyle w:val="Hyperlink"/>
            <w:bCs/>
            <w:b/>
          </w:rPr>
          <w:t xml:space="preserve">подписал</w:t>
        </w:r>
      </w:hyperlink>
      <w:r>
        <w:rPr>
          <w:bCs/>
          <w:b/>
        </w:rPr>
        <w:t xml:space="preserve"> Сергей Собянин. Об этом он рассказал на своей странице в «В контакте».</w:t>
      </w:r>
    </w:p>
    <w:p>
      <w:pPr>
        <w:pStyle w:val="BodyText"/>
      </w:pPr>
      <w:r>
        <w:t xml:space="preserve">Город предлагает инвесторам строить новые заводы или модернизовать существующие предприятия в рамках региональных инвестиционных проектов. Если инвестор вложит в производство новых товаров не меньше 300 миллионов рублей, то получит льготную ставку налога на прибыль на 10 лет. Это 10 процентов вместо стандартных 17 процентов, которые зачисляются в городской бюджет. Также инвесторы смогут получить другие льготы: по стоимости аренды земли или региональным налогам.</w:t>
      </w:r>
    </w:p>
    <w:p>
      <w:pPr>
        <w:pStyle w:val="BodyText"/>
      </w:pPr>
      <w:r>
        <w:t xml:space="preserve">Резидентам особой экономической зоны «Зеленоград» Москва тоже оказывает поддержку. До 2028 года они освобождаются от региональной части налога на прибыль. Затем для них установят льготную ставку: пять процентов до 2033 года, далее — 12,5 процента. Кроме того, для резидентов вдвое — с пяти до 10 лет — увеличен срок освобождения от уплаты земельного и транспортного налогов.</w:t>
      </w:r>
    </w:p>
    <w:p>
      <w:pPr>
        <w:pStyle w:val="BodyText"/>
      </w:pPr>
      <w:r>
        <w:t xml:space="preserve">Эти льготы позволят снизить налоговую нагрузку примерно на 30 процентов и поддержать московскую промышленность. Сегодня столица выпускает хлеб, мясо, молоко и мороженое, зубную пасту, косметику и лекарства. В Москве делают комплексы ПВО и космические спутники, собирают автомобили и микросхемы.</w:t>
      </w:r>
    </w:p>
    <w:p>
      <w:pPr>
        <w:pStyle w:val="BodyText"/>
      </w:pPr>
      <w:r>
        <w:t xml:space="preserve">Система поддержки реального сектора действует в столице с 2016 года. Льготами воспользовались 58 предприятий. 25 из них получили статус промышленного комплекса, 30 — статус технопарка, три компании стали якорными резидентами технопарка. В июне 2017-го город расширил круг промышленных и высокотехнологичных предприятий, которые имеют право на льготы. Теперь статус технопарка вместе с пакетом льгот получает не только целое здание, но и отдельные помещения, общая площадь которых не менее пяти тысяч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http://zuzino.mos.ru/presscenter/news/detail/6518466.html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6518466.html" TargetMode="External" /><Relationship Type="http://schemas.openxmlformats.org/officeDocument/2006/relationships/hyperlink" Id="rId23" Target="https://vk.com/wall265870743_167860?w=wall265870743_1678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6518466.html" TargetMode="External" /><Relationship Type="http://schemas.openxmlformats.org/officeDocument/2006/relationships/hyperlink" Id="rId23" Target="https://vk.com/wall265870743_167860?w=wall265870743_1678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2025-06-10T21:31:57Z</dcterms:created>
  <dcterms:modified xsi:type="dcterms:W3CDTF">2025-06-10T21:31:57Z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