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224ec19ce0e68f8f074bb8bdfdb4d055271ee"/>
    <w:p>
      <w:pPr>
        <w:pStyle w:val="Heading3"/>
      </w:pPr>
      <w:r>
        <w:t xml:space="preserve">В московских домах заменят около двух тысяч лифтов по программе капремонта</w:t>
      </w:r>
    </w:p>
    <w:p>
      <w:pPr>
        <w:pStyle w:val="FirstParagraph"/>
      </w:pPr>
      <w:r>
        <w:t xml:space="preserve">22.11.2019</w:t>
      </w:r>
    </w:p>
    <w:p>
      <w:pPr>
        <w:pStyle w:val="BodyText"/>
      </w:pPr>
      <w:r>
        <w:rPr>
          <w:bCs/>
          <w:b/>
        </w:rPr>
        <w:t xml:space="preserve">По итогам года в столичных многоквартирных домах по программе капремонта будет заменено 1820 лифтов, 1180 из них уже смонтировали.</w:t>
      </w:r>
    </w:p>
    <w:p>
      <w:pPr>
        <w:pStyle w:val="BodyText"/>
      </w:pPr>
      <w:r>
        <w:t xml:space="preserve">Как сообщили в столичном Фонде капитального ремонта, все новые подъемные механизмы соответствуют требованиям технического регламента Таможенного союза.</w:t>
      </w:r>
    </w:p>
    <w:p>
      <w:pPr>
        <w:pStyle w:val="BodyText"/>
      </w:pPr>
      <w:r>
        <w:t xml:space="preserve">В обязательный перечень работ по замене оборудования также входят увеличение проема дверей там, где это необходимо и установка панелей управления с увеличенным по размеру полноцветным электронным табло где это возможно.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http://zuzino.mos.ru/presscenter/news/detail/8511513.html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5115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5115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2025-08-06T02:22:57Z</dcterms:created>
  <dcterms:modified xsi:type="dcterms:W3CDTF">2025-08-06T02:22:57Z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