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9aeb8892ba330fe9c98c77d2400eca8b138c98"/>
    <w:p>
      <w:pPr>
        <w:pStyle w:val="Heading3"/>
      </w:pPr>
      <w:r>
        <w:t xml:space="preserve">Власти Москвы обсудили антитеррористическую защищенность города</w:t>
      </w:r>
    </w:p>
    <w:p>
      <w:pPr>
        <w:pStyle w:val="FirstParagraph"/>
      </w:pPr>
      <w:r>
        <w:t xml:space="preserve">20.02.2020</w:t>
      </w:r>
    </w:p>
    <w:p>
      <w:pPr>
        <w:pStyle w:val="BodyText"/>
      </w:pPr>
      <w:r>
        <w:rPr>
          <w:bCs/>
          <w:b/>
        </w:rPr>
        <w:t xml:space="preserve">В ходе заседания национального антитеррористического комитета (НАК) были рассмотрены вопросы деятельности органов государственной власти и местного самоуправления по обеспечению антитеррористической защищенности социально значимых объектов.</w:t>
      </w:r>
    </w:p>
    <w:p>
      <w:pPr>
        <w:pStyle w:val="BodyText"/>
      </w:pPr>
      <w:r>
        <w:t xml:space="preserve">Как сообщается на официальном сайте НАК, в мероприятии, которое проходило под председательством руководителя антитеррористического комитета, Директора ФСБ России Александра Бортникова, участвовали члены НАК, полномочные представители Президента Российской Федерации, руководители федеральных органов исполнительной власти, представители правоохранительных органов и специальных служб.</w:t>
      </w:r>
    </w:p>
    <w:p>
      <w:pPr>
        <w:pStyle w:val="BodyText"/>
      </w:pPr>
      <w:r>
        <w:t xml:space="preserve">В своем выступлении А. Бортников рассказал, что в стране реализуются правовые и организационные мероприятия, направленные на обеспечение антитеррористической защищенности объектов здравоохранения, торговли, культуры, спорта, образования и иных социально значимых объектов, что позволяет минимизировать возможные угрозы.</w:t>
      </w:r>
    </w:p>
    <w:p>
      <w:pPr>
        <w:pStyle w:val="BodyText"/>
      </w:pPr>
      <w:r>
        <w:t xml:space="preserve">Отмечается, что в ходе заседания были выработаны дополнительные меры по совершенствованию деятельности в данной сфере.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http://zuzino.mos.ru/presscenter/news/detail/8706313.html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Зюзино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87063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87063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2025-08-06T02:22:39Z</dcterms:created>
  <dcterms:modified xsi:type="dcterms:W3CDTF">2025-08-06T02:22:39Z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