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2c2b0299f1778313f9e3a2822fc9374a16bc07"/>
    <w:p>
      <w:pPr>
        <w:pStyle w:val="Heading3"/>
      </w:pPr>
      <w:r>
        <w:t xml:space="preserve">В столице повысят антитеррористическую защищенность ряда инженерных сетей</w:t>
      </w:r>
    </w:p>
    <w:p>
      <w:pPr>
        <w:pStyle w:val="FirstParagraph"/>
      </w:pPr>
      <w:r>
        <w:t xml:space="preserve">27.05.2020</w:t>
      </w:r>
    </w:p>
    <w:p>
      <w:pPr>
        <w:pStyle w:val="BodyText"/>
      </w:pPr>
      <w:r>
        <w:rPr>
          <w:bCs/>
          <w:b/>
        </w:rPr>
        <w:t xml:space="preserve">Свыше ста километров коллекторов в столице планируется оснастить современными системами безопасности. Об этом сообщает Агентство городских новостей «Москва» со ссылкой на пресс-службу ГУП «Москоллектор».</w:t>
      </w:r>
    </w:p>
    <w:p>
      <w:pPr>
        <w:pStyle w:val="BodyText"/>
      </w:pPr>
      <w:r>
        <w:t xml:space="preserve">«В столице ведется колоссальная работа по модернизации инженерной и коммуникационной инфраструктуры, по совершенствованию практик ее обслуживания и управления. Значительных успехов в этом направлении достигло ГУП «Москоллектор». Все объекты предприятия телемеханизированы, и происходит круглосуточный мониторинг 792-километрового коллекторного хозяйства Москвы. 120 тыс. датчиков: охранно-пожарной сигнализации, затопления, температуры, аппаратура контроля метана», - отмечается в сообщении.</w:t>
      </w:r>
    </w:p>
    <w:p>
      <w:pPr>
        <w:pStyle w:val="BodyText"/>
      </w:pPr>
      <w:r>
        <w:t xml:space="preserve">Программа технического перевооружения слаботочных систем ГУП «Москоллектор» была разработана в целях повышения уровня безопасности объектов коллекторного хозяйства в пределах Садового кольца и вдоль вылетных магистралей и в рамках государственной программы Москвы «Развитие коммунально-инженерной инфраструктуры и энергосбережение». Уточняется, что в программу вошло 108 км общегородских коллекторов, в которых проложены ключевые коммуникации: магистральные тепловые и водопроводные сети, высоковольтные силовые кабели, кабели связи и спецсвязи. «Реализация данной программы на предприятии планируется до 2025 года», - пояснил гендиректор предприятия Яков Ротмистров.</w:t>
      </w:r>
    </w:p>
    <w:p>
      <w:pPr>
        <w:pStyle w:val="BodyText"/>
      </w:pPr>
      <w:r>
        <w:t xml:space="preserve">По мнению специалистов, выполнение программы позволит предприятию повысить безопасность и антитеррористическую защищенность объектов инженерной инфраструктуры и их бесперебойную работу на долгие годы.</w:t>
      </w:r>
    </w:p>
    <w:p>
      <w:pPr>
        <w:pStyle w:val="BodyText"/>
      </w:pPr>
      <w:r>
        <w:t xml:space="preserve">Фото: moscollector.ru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http://zuzino.mos.ru/presscenter/news/detail/8924293.html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9242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9242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2025-08-06T02:22:37Z</dcterms:created>
  <dcterms:modified xsi:type="dcterms:W3CDTF">2025-08-06T02:22:37Z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